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8FB1" w14:textId="35C5C6CA" w:rsidR="00F76D11" w:rsidRDefault="568DAB65" w:rsidP="54C2DAAF">
      <w:pPr>
        <w:spacing w:line="240" w:lineRule="auto"/>
        <w:jc w:val="both"/>
        <w:rPr>
          <w:rFonts w:eastAsiaTheme="minorEastAsia"/>
          <w:b/>
          <w:bCs/>
          <w:sz w:val="44"/>
          <w:szCs w:val="44"/>
        </w:rPr>
      </w:pPr>
      <w:r w:rsidRPr="54C2DAAF">
        <w:rPr>
          <w:rFonts w:eastAsiaTheme="minorEastAsia"/>
          <w:sz w:val="44"/>
          <w:szCs w:val="44"/>
        </w:rPr>
        <w:t xml:space="preserve">Encouraging your university to sign up to </w:t>
      </w:r>
      <w:r w:rsidRPr="00A65CF9">
        <w:rPr>
          <w:rFonts w:eastAsiaTheme="minorEastAsia"/>
          <w:b/>
          <w:bCs/>
          <w:color w:val="ED7D31" w:themeColor="accent2"/>
          <w:sz w:val="44"/>
          <w:szCs w:val="44"/>
        </w:rPr>
        <w:t>More Than Our Rank</w:t>
      </w:r>
      <w:r w:rsidR="4203D3F6">
        <w:rPr>
          <w:noProof/>
        </w:rPr>
        <w:drawing>
          <wp:anchor distT="0" distB="0" distL="114300" distR="114300" simplePos="0" relativeHeight="251658240" behindDoc="0" locked="0" layoutInCell="1" allowOverlap="1" wp14:anchorId="7C52865E" wp14:editId="3C649C9E">
            <wp:simplePos x="0" y="0"/>
            <wp:positionH relativeFrom="column">
              <wp:align>left</wp:align>
            </wp:positionH>
            <wp:positionV relativeFrom="paragraph">
              <wp:posOffset>0</wp:posOffset>
            </wp:positionV>
            <wp:extent cx="1126169" cy="1752600"/>
            <wp:effectExtent l="0" t="0" r="0" b="0"/>
            <wp:wrapSquare wrapText="bothSides"/>
            <wp:docPr id="337019198"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126169" cy="1752600"/>
                    </a:xfrm>
                    <a:prstGeom prst="rect">
                      <a:avLst/>
                    </a:prstGeom>
                  </pic:spPr>
                </pic:pic>
              </a:graphicData>
            </a:graphic>
            <wp14:sizeRelH relativeFrom="page">
              <wp14:pctWidth>0</wp14:pctWidth>
            </wp14:sizeRelH>
            <wp14:sizeRelV relativeFrom="page">
              <wp14:pctHeight>0</wp14:pctHeight>
            </wp14:sizeRelV>
          </wp:anchor>
        </w:drawing>
      </w:r>
    </w:p>
    <w:p w14:paraId="56A32B37" w14:textId="783E1D78" w:rsidR="00671BB4" w:rsidRPr="000B6E12" w:rsidRDefault="00501E6A" w:rsidP="54C2DAAF">
      <w:pPr>
        <w:spacing w:line="240" w:lineRule="auto"/>
        <w:jc w:val="both"/>
        <w:rPr>
          <w:rFonts w:eastAsiaTheme="minorEastAsia"/>
          <w:sz w:val="24"/>
          <w:szCs w:val="24"/>
          <w:lang w:val="en-US"/>
        </w:rPr>
      </w:pPr>
      <w:r w:rsidRPr="54C2DAAF">
        <w:rPr>
          <w:rFonts w:eastAsiaTheme="minorEastAsia"/>
          <w:sz w:val="24"/>
          <w:szCs w:val="24"/>
          <w:lang w:val="en-US"/>
        </w:rPr>
        <w:t xml:space="preserve">The International Network of Research Management Societies (INORMS) </w:t>
      </w:r>
      <w:hyperlink r:id="rId11" w:history="1">
        <w:r w:rsidRPr="00A65CF9">
          <w:rPr>
            <w:rStyle w:val="Hyperlink"/>
            <w:rFonts w:eastAsiaTheme="minorEastAsia"/>
            <w:sz w:val="24"/>
            <w:szCs w:val="24"/>
            <w:lang w:val="en-US"/>
          </w:rPr>
          <w:t>Research Evaluation Group</w:t>
        </w:r>
      </w:hyperlink>
      <w:r w:rsidRPr="54C2DAAF">
        <w:rPr>
          <w:rFonts w:eastAsiaTheme="minorEastAsia"/>
          <w:sz w:val="24"/>
          <w:szCs w:val="24"/>
          <w:lang w:val="en-US"/>
        </w:rPr>
        <w:t xml:space="preserve"> (REG) was established in 2018 </w:t>
      </w:r>
      <w:r w:rsidRPr="54C2DAAF">
        <w:rPr>
          <w:rFonts w:eastAsiaTheme="minorEastAsia"/>
          <w:sz w:val="24"/>
          <w:szCs w:val="24"/>
        </w:rPr>
        <w:t>to promote</w:t>
      </w:r>
      <w:r w:rsidR="000B6E12" w:rsidRPr="54C2DAAF">
        <w:rPr>
          <w:rFonts w:eastAsiaTheme="minorEastAsia"/>
          <w:sz w:val="24"/>
          <w:szCs w:val="24"/>
        </w:rPr>
        <w:t xml:space="preserve"> fairer and more responsible assessment of academic research and institutions. </w:t>
      </w:r>
      <w:r w:rsidR="00671BB4" w:rsidRPr="54C2DAAF">
        <w:rPr>
          <w:rFonts w:eastAsiaTheme="minorEastAsia"/>
          <w:sz w:val="24"/>
          <w:szCs w:val="24"/>
          <w:lang w:val="en-US"/>
        </w:rPr>
        <w:t xml:space="preserve">To support this ambition, the INORMS </w:t>
      </w:r>
      <w:hyperlink r:id="rId12" w:history="1">
        <w:r w:rsidR="008766CD" w:rsidRPr="00A65CF9">
          <w:rPr>
            <w:rStyle w:val="Hyperlink"/>
            <w:rFonts w:eastAsiaTheme="minorEastAsia"/>
            <w:b/>
            <w:bCs/>
            <w:sz w:val="24"/>
            <w:szCs w:val="24"/>
            <w:lang w:val="en-US"/>
          </w:rPr>
          <w:t>More Than Our Rank</w:t>
        </w:r>
      </w:hyperlink>
      <w:r w:rsidR="008766CD" w:rsidRPr="54C2DAAF">
        <w:rPr>
          <w:rFonts w:eastAsiaTheme="minorEastAsia"/>
          <w:sz w:val="24"/>
          <w:szCs w:val="24"/>
          <w:lang w:val="en-US"/>
        </w:rPr>
        <w:t xml:space="preserve"> initiative was launched in October 2022. </w:t>
      </w:r>
    </w:p>
    <w:p w14:paraId="447422B2" w14:textId="4327C802" w:rsidR="00671BB4" w:rsidRPr="000B6E12" w:rsidRDefault="008766CD" w:rsidP="54C2DAAF">
      <w:pPr>
        <w:spacing w:line="240" w:lineRule="auto"/>
        <w:jc w:val="both"/>
        <w:rPr>
          <w:rStyle w:val="normaltextrun"/>
          <w:rFonts w:eastAsiaTheme="minorEastAsia"/>
          <w:sz w:val="24"/>
          <w:szCs w:val="24"/>
        </w:rPr>
      </w:pPr>
      <w:r w:rsidRPr="54C2DAAF">
        <w:rPr>
          <w:rFonts w:eastAsiaTheme="minorEastAsia"/>
          <w:b/>
          <w:bCs/>
          <w:sz w:val="24"/>
          <w:szCs w:val="24"/>
          <w:lang w:val="en-US"/>
        </w:rPr>
        <w:t>More Than Our Rank</w:t>
      </w:r>
      <w:r w:rsidRPr="54C2DAAF">
        <w:rPr>
          <w:rFonts w:eastAsiaTheme="minorEastAsia"/>
          <w:sz w:val="24"/>
          <w:szCs w:val="24"/>
          <w:lang w:val="en-US"/>
        </w:rPr>
        <w:t xml:space="preserve"> is</w:t>
      </w:r>
      <w:r w:rsidR="00671BB4" w:rsidRPr="54C2DAAF">
        <w:rPr>
          <w:rFonts w:eastAsiaTheme="minorEastAsia"/>
          <w:sz w:val="24"/>
          <w:szCs w:val="24"/>
          <w:lang w:val="en-US"/>
        </w:rPr>
        <w:t xml:space="preserve"> </w:t>
      </w:r>
      <w:r w:rsidRPr="54C2DAAF">
        <w:rPr>
          <w:rFonts w:eastAsiaTheme="minorEastAsia"/>
          <w:sz w:val="24"/>
          <w:szCs w:val="24"/>
          <w:lang w:val="en-US"/>
        </w:rPr>
        <w:t xml:space="preserve">an opportunity to redefine what institutional success looks like, by enabling universities to </w:t>
      </w:r>
      <w:r w:rsidR="000B6E12" w:rsidRPr="54C2DAAF">
        <w:rPr>
          <w:rFonts w:eastAsiaTheme="minorEastAsia"/>
          <w:sz w:val="24"/>
          <w:szCs w:val="24"/>
          <w:lang w:val="en-US"/>
        </w:rPr>
        <w:t>celebrate</w:t>
      </w:r>
      <w:r w:rsidRPr="54C2DAAF">
        <w:rPr>
          <w:rFonts w:eastAsiaTheme="minorEastAsia"/>
          <w:sz w:val="24"/>
          <w:szCs w:val="24"/>
          <w:lang w:val="en-US"/>
        </w:rPr>
        <w:t xml:space="preserve"> their many and varied </w:t>
      </w:r>
      <w:r w:rsidRPr="54C2DAAF">
        <w:rPr>
          <w:rStyle w:val="normaltextrun"/>
          <w:rFonts w:eastAsiaTheme="minorEastAsia"/>
          <w:color w:val="000000"/>
          <w:sz w:val="24"/>
          <w:szCs w:val="24"/>
          <w:shd w:val="clear" w:color="auto" w:fill="FFFFFF"/>
        </w:rPr>
        <w:t xml:space="preserve">activities, achievements and ambitions that are not captured by global university rankings. </w:t>
      </w:r>
    </w:p>
    <w:p w14:paraId="72CC43C9" w14:textId="53D7619C" w:rsidR="161F9265" w:rsidRPr="00A65CF9" w:rsidRDefault="568DAB65" w:rsidP="161F9265">
      <w:pPr>
        <w:spacing w:line="240" w:lineRule="auto"/>
        <w:jc w:val="both"/>
        <w:rPr>
          <w:rFonts w:eastAsiaTheme="minorEastAsia"/>
          <w:sz w:val="24"/>
          <w:szCs w:val="24"/>
        </w:rPr>
      </w:pPr>
      <w:r w:rsidRPr="161F9265">
        <w:rPr>
          <w:rStyle w:val="normaltextrun"/>
          <w:rFonts w:eastAsiaTheme="minorEastAsia"/>
          <w:sz w:val="24"/>
          <w:szCs w:val="24"/>
        </w:rPr>
        <w:t xml:space="preserve">Participation in </w:t>
      </w:r>
      <w:r w:rsidRPr="161F9265">
        <w:rPr>
          <w:rStyle w:val="normaltextrun"/>
          <w:rFonts w:eastAsiaTheme="minorEastAsia"/>
          <w:b/>
          <w:bCs/>
          <w:sz w:val="24"/>
          <w:szCs w:val="24"/>
        </w:rPr>
        <w:t>More Than Our Rank</w:t>
      </w:r>
      <w:r w:rsidRPr="161F9265">
        <w:rPr>
          <w:rStyle w:val="normaltextrun"/>
          <w:rFonts w:eastAsiaTheme="minorEastAsia"/>
          <w:sz w:val="24"/>
          <w:szCs w:val="24"/>
        </w:rPr>
        <w:t xml:space="preserve"> is for institutions rather than individuals, and therefore requires agreement from institutional leaders. As brokering conversations about public commitments can be difficult, the REG have drafted the following guidance to help you to leverage support for </w:t>
      </w:r>
      <w:r w:rsidRPr="161F9265">
        <w:rPr>
          <w:rStyle w:val="normaltextrun"/>
          <w:rFonts w:eastAsiaTheme="minorEastAsia"/>
          <w:b/>
          <w:bCs/>
          <w:sz w:val="24"/>
          <w:szCs w:val="24"/>
        </w:rPr>
        <w:t>More Than Our Rank</w:t>
      </w:r>
      <w:r w:rsidRPr="161F9265">
        <w:rPr>
          <w:rStyle w:val="normaltextrun"/>
          <w:rFonts w:eastAsiaTheme="minorEastAsia"/>
          <w:sz w:val="24"/>
          <w:szCs w:val="24"/>
        </w:rPr>
        <w:t xml:space="preserve"> within your organisation.</w:t>
      </w:r>
    </w:p>
    <w:p w14:paraId="069E2C49" w14:textId="6F12EB80" w:rsidR="161F9265" w:rsidRPr="00A65CF9" w:rsidRDefault="568DAB65" w:rsidP="161F9265">
      <w:pPr>
        <w:spacing w:line="240" w:lineRule="auto"/>
        <w:jc w:val="both"/>
        <w:rPr>
          <w:b/>
          <w:bCs/>
          <w:color w:val="ED7D31" w:themeColor="accent2"/>
          <w:sz w:val="24"/>
          <w:szCs w:val="24"/>
          <w:lang w:val="en-US"/>
        </w:rPr>
      </w:pPr>
      <w:r w:rsidRPr="00A65CF9">
        <w:rPr>
          <w:b/>
          <w:bCs/>
          <w:color w:val="ED7D31" w:themeColor="accent2"/>
          <w:sz w:val="28"/>
          <w:szCs w:val="28"/>
          <w:lang w:val="en-US"/>
        </w:rPr>
        <w:t>Why should your institution participate?</w:t>
      </w:r>
    </w:p>
    <w:p w14:paraId="006343C8" w14:textId="68B1C3E0" w:rsidR="568DAB65" w:rsidRPr="00A65CF9" w:rsidRDefault="568DAB65" w:rsidP="2291EAE4">
      <w:pPr>
        <w:pStyle w:val="ListParagraph"/>
        <w:numPr>
          <w:ilvl w:val="0"/>
          <w:numId w:val="9"/>
        </w:numPr>
        <w:spacing w:after="0" w:line="240" w:lineRule="auto"/>
        <w:rPr>
          <w:rFonts w:eastAsiaTheme="minorEastAsia"/>
          <w:b/>
          <w:bCs/>
          <w:sz w:val="26"/>
          <w:szCs w:val="26"/>
        </w:rPr>
      </w:pPr>
      <w:r w:rsidRPr="00A65CF9">
        <w:rPr>
          <w:rFonts w:eastAsiaTheme="minorEastAsia"/>
          <w:b/>
          <w:bCs/>
          <w:sz w:val="26"/>
          <w:szCs w:val="26"/>
        </w:rPr>
        <w:t>You get to describe your ambitions, activities</w:t>
      </w:r>
      <w:r w:rsidR="00960CD8" w:rsidRPr="00A65CF9">
        <w:rPr>
          <w:rFonts w:eastAsiaTheme="minorEastAsia"/>
          <w:b/>
          <w:bCs/>
          <w:sz w:val="26"/>
          <w:szCs w:val="26"/>
        </w:rPr>
        <w:t>,</w:t>
      </w:r>
      <w:r w:rsidRPr="00A65CF9">
        <w:rPr>
          <w:rFonts w:eastAsiaTheme="minorEastAsia"/>
          <w:b/>
          <w:bCs/>
          <w:sz w:val="26"/>
          <w:szCs w:val="26"/>
        </w:rPr>
        <w:t xml:space="preserve"> and achievements in full</w:t>
      </w:r>
    </w:p>
    <w:p w14:paraId="51D120F9" w14:textId="356B83A1" w:rsidR="568DAB65" w:rsidRDefault="568DAB65" w:rsidP="2291EAE4">
      <w:pPr>
        <w:spacing w:after="0" w:line="240" w:lineRule="auto"/>
        <w:rPr>
          <w:rFonts w:eastAsiaTheme="minorEastAsia"/>
          <w:sz w:val="24"/>
          <w:szCs w:val="24"/>
        </w:rPr>
      </w:pPr>
      <w:r w:rsidRPr="2291EAE4">
        <w:rPr>
          <w:rFonts w:eastAsiaTheme="minorEastAsia"/>
          <w:sz w:val="24"/>
          <w:szCs w:val="24"/>
        </w:rPr>
        <w:t xml:space="preserve">Signatories to </w:t>
      </w:r>
      <w:r w:rsidRPr="2291EAE4">
        <w:rPr>
          <w:rFonts w:eastAsiaTheme="minorEastAsia"/>
          <w:b/>
          <w:bCs/>
          <w:sz w:val="24"/>
          <w:szCs w:val="24"/>
        </w:rPr>
        <w:t xml:space="preserve">More Than Our Rank </w:t>
      </w:r>
      <w:r w:rsidRPr="2291EAE4">
        <w:rPr>
          <w:rFonts w:eastAsiaTheme="minorEastAsia"/>
          <w:sz w:val="24"/>
          <w:szCs w:val="24"/>
        </w:rPr>
        <w:t xml:space="preserve">get to define their successes on their </w:t>
      </w:r>
      <w:r w:rsidR="4A1E8F46" w:rsidRPr="2291EAE4">
        <w:rPr>
          <w:rFonts w:eastAsiaTheme="minorEastAsia"/>
          <w:sz w:val="24"/>
          <w:szCs w:val="24"/>
        </w:rPr>
        <w:t xml:space="preserve">own </w:t>
      </w:r>
      <w:r w:rsidRPr="2291EAE4">
        <w:rPr>
          <w:rFonts w:eastAsiaTheme="minorEastAsia"/>
          <w:sz w:val="24"/>
          <w:szCs w:val="24"/>
        </w:rPr>
        <w:t xml:space="preserve">terms in line with their own institutional missions and ambitions. </w:t>
      </w:r>
      <w:r w:rsidR="6058FB48" w:rsidRPr="2291EAE4">
        <w:rPr>
          <w:rFonts w:eastAsiaTheme="minorEastAsia"/>
          <w:sz w:val="24"/>
          <w:szCs w:val="24"/>
        </w:rPr>
        <w:t>This opportunity allows institutions</w:t>
      </w:r>
      <w:r w:rsidRPr="2291EAE4">
        <w:rPr>
          <w:rFonts w:eastAsiaTheme="minorEastAsia"/>
          <w:sz w:val="24"/>
          <w:szCs w:val="24"/>
        </w:rPr>
        <w:t xml:space="preserve"> to step away from the </w:t>
      </w:r>
      <w:r w:rsidR="02C9950C" w:rsidRPr="2291EAE4">
        <w:rPr>
          <w:rFonts w:eastAsiaTheme="minorEastAsia"/>
          <w:sz w:val="24"/>
          <w:szCs w:val="24"/>
        </w:rPr>
        <w:t>limited</w:t>
      </w:r>
      <w:r w:rsidRPr="2291EAE4">
        <w:rPr>
          <w:rFonts w:eastAsiaTheme="minorEastAsia"/>
          <w:sz w:val="24"/>
          <w:szCs w:val="24"/>
        </w:rPr>
        <w:t xml:space="preserve"> definition</w:t>
      </w:r>
      <w:r w:rsidR="31384C4C" w:rsidRPr="2291EAE4">
        <w:rPr>
          <w:rFonts w:eastAsiaTheme="minorEastAsia"/>
          <w:sz w:val="24"/>
          <w:szCs w:val="24"/>
        </w:rPr>
        <w:t>s</w:t>
      </w:r>
      <w:r w:rsidRPr="2291EAE4">
        <w:rPr>
          <w:rFonts w:eastAsiaTheme="minorEastAsia"/>
          <w:sz w:val="24"/>
          <w:szCs w:val="24"/>
        </w:rPr>
        <w:t xml:space="preserve"> of quality</w:t>
      </w:r>
      <w:r w:rsidR="25E96DBC" w:rsidRPr="2291EAE4">
        <w:rPr>
          <w:rFonts w:eastAsiaTheme="minorEastAsia"/>
          <w:sz w:val="24"/>
          <w:szCs w:val="24"/>
        </w:rPr>
        <w:t xml:space="preserve"> and excellence</w:t>
      </w:r>
      <w:r w:rsidRPr="2291EAE4">
        <w:rPr>
          <w:rFonts w:eastAsiaTheme="minorEastAsia"/>
          <w:sz w:val="24"/>
          <w:szCs w:val="24"/>
        </w:rPr>
        <w:t xml:space="preserve"> </w:t>
      </w:r>
      <w:r w:rsidR="300911E7" w:rsidRPr="2291EAE4">
        <w:rPr>
          <w:rFonts w:eastAsiaTheme="minorEastAsia"/>
          <w:sz w:val="24"/>
          <w:szCs w:val="24"/>
        </w:rPr>
        <w:t>of</w:t>
      </w:r>
      <w:r w:rsidRPr="2291EAE4">
        <w:rPr>
          <w:rFonts w:eastAsiaTheme="minorEastAsia"/>
          <w:sz w:val="24"/>
          <w:szCs w:val="24"/>
        </w:rPr>
        <w:t xml:space="preserve"> </w:t>
      </w:r>
      <w:r w:rsidR="4579B87A" w:rsidRPr="2291EAE4">
        <w:rPr>
          <w:rFonts w:eastAsiaTheme="minorEastAsia"/>
          <w:sz w:val="24"/>
          <w:szCs w:val="24"/>
        </w:rPr>
        <w:t>national and international</w:t>
      </w:r>
      <w:r w:rsidRPr="2291EAE4">
        <w:rPr>
          <w:rFonts w:eastAsiaTheme="minorEastAsia"/>
          <w:sz w:val="24"/>
          <w:szCs w:val="24"/>
        </w:rPr>
        <w:t xml:space="preserve"> </w:t>
      </w:r>
      <w:r w:rsidR="233A4FEF" w:rsidRPr="2291EAE4">
        <w:rPr>
          <w:rFonts w:eastAsiaTheme="minorEastAsia"/>
          <w:sz w:val="24"/>
          <w:szCs w:val="24"/>
        </w:rPr>
        <w:t>rankings and</w:t>
      </w:r>
      <w:r w:rsidRPr="2291EAE4">
        <w:rPr>
          <w:rFonts w:eastAsiaTheme="minorEastAsia"/>
          <w:sz w:val="24"/>
          <w:szCs w:val="24"/>
        </w:rPr>
        <w:t xml:space="preserve"> celebrat</w:t>
      </w:r>
      <w:r w:rsidR="108ABEE5" w:rsidRPr="2291EAE4">
        <w:rPr>
          <w:rFonts w:eastAsiaTheme="minorEastAsia"/>
          <w:sz w:val="24"/>
          <w:szCs w:val="24"/>
        </w:rPr>
        <w:t>e</w:t>
      </w:r>
      <w:r w:rsidRPr="2291EAE4">
        <w:rPr>
          <w:rFonts w:eastAsiaTheme="minorEastAsia"/>
          <w:sz w:val="24"/>
          <w:szCs w:val="24"/>
        </w:rPr>
        <w:t xml:space="preserve"> what is meaningful to you and your communities.</w:t>
      </w:r>
    </w:p>
    <w:p w14:paraId="499842D5" w14:textId="62673528" w:rsidR="2291EAE4" w:rsidRDefault="2291EAE4" w:rsidP="2291EAE4">
      <w:pPr>
        <w:spacing w:after="0" w:line="240" w:lineRule="auto"/>
        <w:rPr>
          <w:rFonts w:eastAsiaTheme="minorEastAsia"/>
          <w:sz w:val="24"/>
          <w:szCs w:val="24"/>
        </w:rPr>
      </w:pPr>
    </w:p>
    <w:p w14:paraId="11B8ECFB" w14:textId="1903CC80" w:rsidR="568DAB65" w:rsidRPr="00A65CF9" w:rsidRDefault="005924E5" w:rsidP="2291EAE4">
      <w:pPr>
        <w:pStyle w:val="ListParagraph"/>
        <w:numPr>
          <w:ilvl w:val="0"/>
          <w:numId w:val="9"/>
        </w:numPr>
        <w:spacing w:after="0" w:line="240" w:lineRule="auto"/>
        <w:rPr>
          <w:rFonts w:eastAsiaTheme="minorEastAsia"/>
          <w:b/>
          <w:bCs/>
          <w:sz w:val="26"/>
          <w:szCs w:val="26"/>
        </w:rPr>
      </w:pPr>
      <w:r w:rsidRPr="00A65CF9">
        <w:rPr>
          <w:rFonts w:eastAsiaTheme="minorEastAsia"/>
          <w:b/>
          <w:bCs/>
          <w:sz w:val="26"/>
          <w:szCs w:val="26"/>
        </w:rPr>
        <w:t xml:space="preserve">It </w:t>
      </w:r>
      <w:r w:rsidR="79721560" w:rsidRPr="00A65CF9">
        <w:rPr>
          <w:rFonts w:eastAsiaTheme="minorEastAsia"/>
          <w:b/>
          <w:bCs/>
          <w:sz w:val="26"/>
          <w:szCs w:val="26"/>
        </w:rPr>
        <w:t>co-</w:t>
      </w:r>
      <w:r w:rsidR="31B0642E" w:rsidRPr="00A65CF9">
        <w:rPr>
          <w:rFonts w:eastAsiaTheme="minorEastAsia"/>
          <w:b/>
          <w:bCs/>
          <w:sz w:val="26"/>
          <w:szCs w:val="26"/>
        </w:rPr>
        <w:t>exist</w:t>
      </w:r>
      <w:r w:rsidR="00A65CF9">
        <w:rPr>
          <w:rFonts w:eastAsiaTheme="minorEastAsia"/>
          <w:b/>
          <w:bCs/>
          <w:sz w:val="26"/>
          <w:szCs w:val="26"/>
        </w:rPr>
        <w:t>s</w:t>
      </w:r>
      <w:r w:rsidR="31B0642E" w:rsidRPr="00A65CF9">
        <w:rPr>
          <w:rFonts w:eastAsiaTheme="minorEastAsia"/>
          <w:b/>
          <w:bCs/>
          <w:sz w:val="26"/>
          <w:szCs w:val="26"/>
        </w:rPr>
        <w:t xml:space="preserve"> </w:t>
      </w:r>
      <w:r w:rsidR="00A65CF9">
        <w:rPr>
          <w:rFonts w:eastAsiaTheme="minorEastAsia"/>
          <w:b/>
          <w:bCs/>
          <w:sz w:val="26"/>
          <w:szCs w:val="26"/>
        </w:rPr>
        <w:t xml:space="preserve">with, </w:t>
      </w:r>
      <w:r w:rsidR="31B0642E" w:rsidRPr="00A65CF9">
        <w:rPr>
          <w:rFonts w:eastAsiaTheme="minorEastAsia"/>
          <w:b/>
          <w:bCs/>
          <w:sz w:val="26"/>
          <w:szCs w:val="26"/>
        </w:rPr>
        <w:t>and compl</w:t>
      </w:r>
      <w:r w:rsidR="00A65CF9">
        <w:rPr>
          <w:rFonts w:eastAsiaTheme="minorEastAsia"/>
          <w:b/>
          <w:bCs/>
          <w:sz w:val="26"/>
          <w:szCs w:val="26"/>
        </w:rPr>
        <w:t>e</w:t>
      </w:r>
      <w:r w:rsidR="31B0642E" w:rsidRPr="00A65CF9">
        <w:rPr>
          <w:rFonts w:eastAsiaTheme="minorEastAsia"/>
          <w:b/>
          <w:bCs/>
          <w:sz w:val="26"/>
          <w:szCs w:val="26"/>
        </w:rPr>
        <w:t>ment</w:t>
      </w:r>
      <w:r w:rsidR="00A65CF9">
        <w:rPr>
          <w:rFonts w:eastAsiaTheme="minorEastAsia"/>
          <w:b/>
          <w:bCs/>
          <w:sz w:val="26"/>
          <w:szCs w:val="26"/>
        </w:rPr>
        <w:t>s,</w:t>
      </w:r>
      <w:r w:rsidR="31B0642E" w:rsidRPr="00A65CF9">
        <w:rPr>
          <w:rFonts w:eastAsiaTheme="minorEastAsia"/>
          <w:b/>
          <w:bCs/>
          <w:sz w:val="26"/>
          <w:szCs w:val="26"/>
        </w:rPr>
        <w:t xml:space="preserve"> </w:t>
      </w:r>
      <w:r w:rsidR="568DAB65" w:rsidRPr="00A65CF9">
        <w:rPr>
          <w:rFonts w:eastAsiaTheme="minorEastAsia"/>
          <w:b/>
          <w:bCs/>
          <w:sz w:val="26"/>
          <w:szCs w:val="26"/>
        </w:rPr>
        <w:t>the rankings</w:t>
      </w:r>
    </w:p>
    <w:p w14:paraId="68BE4CD8" w14:textId="23451F10" w:rsidR="568DAB65" w:rsidRDefault="568DAB65" w:rsidP="2291EAE4">
      <w:pPr>
        <w:spacing w:after="0" w:line="240" w:lineRule="auto"/>
        <w:rPr>
          <w:rFonts w:eastAsiaTheme="minorEastAsia"/>
          <w:b/>
          <w:bCs/>
          <w:sz w:val="24"/>
          <w:szCs w:val="24"/>
        </w:rPr>
      </w:pPr>
      <w:r w:rsidRPr="2291EAE4">
        <w:rPr>
          <w:rFonts w:eastAsiaTheme="minorEastAsia"/>
          <w:sz w:val="24"/>
          <w:szCs w:val="24"/>
        </w:rPr>
        <w:t xml:space="preserve">Some institutions are well-served by the global rankings and want to celebrate their ranking successes. There is no requirement that signatories to </w:t>
      </w:r>
      <w:r w:rsidRPr="2291EAE4">
        <w:rPr>
          <w:rFonts w:eastAsiaTheme="minorEastAsia"/>
          <w:b/>
          <w:bCs/>
          <w:sz w:val="24"/>
          <w:szCs w:val="24"/>
        </w:rPr>
        <w:t xml:space="preserve">More Than Our Rank </w:t>
      </w:r>
      <w:r w:rsidR="78759CE7" w:rsidRPr="2291EAE4">
        <w:rPr>
          <w:rFonts w:eastAsiaTheme="minorEastAsia"/>
          <w:sz w:val="24"/>
          <w:szCs w:val="24"/>
        </w:rPr>
        <w:t>stop using</w:t>
      </w:r>
      <w:r w:rsidRPr="2291EAE4">
        <w:rPr>
          <w:rFonts w:eastAsiaTheme="minorEastAsia"/>
          <w:sz w:val="24"/>
          <w:szCs w:val="24"/>
        </w:rPr>
        <w:t xml:space="preserve"> the rankings, </w:t>
      </w:r>
      <w:r w:rsidR="14A4A85D" w:rsidRPr="2291EAE4">
        <w:rPr>
          <w:rFonts w:eastAsiaTheme="minorEastAsia"/>
          <w:sz w:val="24"/>
          <w:szCs w:val="24"/>
        </w:rPr>
        <w:t xml:space="preserve">but </w:t>
      </w:r>
      <w:r w:rsidRPr="2291EAE4">
        <w:rPr>
          <w:rFonts w:eastAsiaTheme="minorEastAsia"/>
          <w:sz w:val="24"/>
          <w:szCs w:val="24"/>
        </w:rPr>
        <w:t>only</w:t>
      </w:r>
      <w:r w:rsidR="3E60C8AB" w:rsidRPr="2291EAE4">
        <w:rPr>
          <w:rFonts w:eastAsiaTheme="minorEastAsia"/>
          <w:sz w:val="24"/>
          <w:szCs w:val="24"/>
        </w:rPr>
        <w:t xml:space="preserve"> that they also</w:t>
      </w:r>
      <w:r w:rsidRPr="2291EAE4">
        <w:rPr>
          <w:rFonts w:eastAsiaTheme="minorEastAsia"/>
          <w:sz w:val="24"/>
          <w:szCs w:val="24"/>
        </w:rPr>
        <w:t xml:space="preserve"> highlight </w:t>
      </w:r>
      <w:r w:rsidR="2A7C2A58" w:rsidRPr="2291EAE4">
        <w:rPr>
          <w:rFonts w:eastAsiaTheme="minorEastAsia"/>
          <w:sz w:val="24"/>
          <w:szCs w:val="24"/>
        </w:rPr>
        <w:t>what</w:t>
      </w:r>
      <w:r w:rsidRPr="2291EAE4">
        <w:rPr>
          <w:rFonts w:eastAsiaTheme="minorEastAsia"/>
          <w:sz w:val="24"/>
          <w:szCs w:val="24"/>
        </w:rPr>
        <w:t xml:space="preserve"> </w:t>
      </w:r>
      <w:r w:rsidR="53FAF71D" w:rsidRPr="2291EAE4">
        <w:rPr>
          <w:rFonts w:eastAsiaTheme="minorEastAsia"/>
          <w:sz w:val="24"/>
          <w:szCs w:val="24"/>
        </w:rPr>
        <w:t xml:space="preserve">they </w:t>
      </w:r>
      <w:r w:rsidRPr="2291EAE4">
        <w:rPr>
          <w:rFonts w:eastAsiaTheme="minorEastAsia"/>
          <w:sz w:val="24"/>
          <w:szCs w:val="24"/>
        </w:rPr>
        <w:t>have more to offer tha</w:t>
      </w:r>
      <w:r w:rsidR="7CE730C9" w:rsidRPr="2291EAE4">
        <w:rPr>
          <w:rFonts w:eastAsiaTheme="minorEastAsia"/>
          <w:sz w:val="24"/>
          <w:szCs w:val="24"/>
        </w:rPr>
        <w:t xml:space="preserve">t </w:t>
      </w:r>
      <w:r w:rsidRPr="2291EAE4">
        <w:rPr>
          <w:rFonts w:eastAsiaTheme="minorEastAsia"/>
          <w:sz w:val="24"/>
          <w:szCs w:val="24"/>
        </w:rPr>
        <w:t>is</w:t>
      </w:r>
      <w:r w:rsidR="2C3569C3" w:rsidRPr="2291EAE4">
        <w:rPr>
          <w:rFonts w:eastAsiaTheme="minorEastAsia"/>
          <w:sz w:val="24"/>
          <w:szCs w:val="24"/>
        </w:rPr>
        <w:t xml:space="preserve"> not</w:t>
      </w:r>
      <w:r w:rsidRPr="2291EAE4">
        <w:rPr>
          <w:rFonts w:eastAsiaTheme="minorEastAsia"/>
          <w:sz w:val="24"/>
          <w:szCs w:val="24"/>
        </w:rPr>
        <w:t xml:space="preserve"> captured by the rankings – something with which even the rankings would agree!</w:t>
      </w:r>
      <w:r w:rsidR="53CBA4AC" w:rsidRPr="2291EAE4">
        <w:rPr>
          <w:rFonts w:eastAsiaTheme="minorEastAsia"/>
          <w:sz w:val="24"/>
          <w:szCs w:val="24"/>
        </w:rPr>
        <w:t xml:space="preserve"> (</w:t>
      </w:r>
      <w:r w:rsidR="00A65CF9">
        <w:rPr>
          <w:rFonts w:eastAsiaTheme="minorEastAsia"/>
          <w:sz w:val="24"/>
          <w:szCs w:val="24"/>
        </w:rPr>
        <w:t>S</w:t>
      </w:r>
      <w:r w:rsidR="53CBA4AC" w:rsidRPr="2291EAE4">
        <w:rPr>
          <w:rFonts w:eastAsiaTheme="minorEastAsia"/>
          <w:sz w:val="24"/>
          <w:szCs w:val="24"/>
        </w:rPr>
        <w:t>ee our supporting organisations)</w:t>
      </w:r>
      <w:r w:rsidR="00A65CF9">
        <w:rPr>
          <w:rFonts w:eastAsiaTheme="minorEastAsia"/>
          <w:sz w:val="24"/>
          <w:szCs w:val="24"/>
        </w:rPr>
        <w:t>.</w:t>
      </w:r>
    </w:p>
    <w:p w14:paraId="5A8172D9" w14:textId="73AD8FAC" w:rsidR="2291EAE4" w:rsidRDefault="2291EAE4" w:rsidP="2291EAE4">
      <w:pPr>
        <w:spacing w:after="0" w:line="240" w:lineRule="auto"/>
        <w:rPr>
          <w:rFonts w:eastAsiaTheme="minorEastAsia"/>
          <w:sz w:val="24"/>
          <w:szCs w:val="24"/>
        </w:rPr>
      </w:pPr>
    </w:p>
    <w:p w14:paraId="643CDD63" w14:textId="620D2069" w:rsidR="568DAB65" w:rsidRPr="00A65CF9" w:rsidRDefault="54C2DAAF" w:rsidP="2291EAE4">
      <w:pPr>
        <w:spacing w:after="0" w:line="240" w:lineRule="auto"/>
        <w:rPr>
          <w:rFonts w:eastAsiaTheme="minorEastAsia"/>
          <w:sz w:val="26"/>
          <w:szCs w:val="26"/>
        </w:rPr>
      </w:pPr>
      <w:r w:rsidRPr="00A65CF9">
        <w:rPr>
          <w:rFonts w:eastAsiaTheme="minorEastAsia"/>
          <w:b/>
          <w:bCs/>
          <w:sz w:val="26"/>
          <w:szCs w:val="26"/>
        </w:rPr>
        <w:t xml:space="preserve">3. </w:t>
      </w:r>
      <w:r w:rsidR="1C7E2DFB" w:rsidRPr="00A65CF9">
        <w:rPr>
          <w:rFonts w:eastAsiaTheme="minorEastAsia"/>
          <w:b/>
          <w:bCs/>
          <w:sz w:val="26"/>
          <w:szCs w:val="26"/>
        </w:rPr>
        <w:t xml:space="preserve">   </w:t>
      </w:r>
      <w:r w:rsidR="568DAB65" w:rsidRPr="00A65CF9">
        <w:rPr>
          <w:rFonts w:eastAsiaTheme="minorEastAsia"/>
          <w:b/>
          <w:bCs/>
          <w:sz w:val="26"/>
          <w:szCs w:val="26"/>
        </w:rPr>
        <w:t xml:space="preserve">You get to live up to your principles </w:t>
      </w:r>
      <w:r w:rsidR="00A65CF9">
        <w:rPr>
          <w:rFonts w:eastAsiaTheme="minorEastAsia"/>
          <w:b/>
          <w:bCs/>
          <w:sz w:val="26"/>
          <w:szCs w:val="26"/>
        </w:rPr>
        <w:t>on</w:t>
      </w:r>
      <w:r w:rsidR="568DAB65" w:rsidRPr="00A65CF9">
        <w:rPr>
          <w:rFonts w:eastAsiaTheme="minorEastAsia"/>
          <w:b/>
          <w:bCs/>
          <w:sz w:val="26"/>
          <w:szCs w:val="26"/>
        </w:rPr>
        <w:t>:</w:t>
      </w:r>
    </w:p>
    <w:p w14:paraId="2D3E46A4" w14:textId="60543527" w:rsidR="568DAB65" w:rsidRDefault="568DAB65" w:rsidP="2291EAE4">
      <w:pPr>
        <w:pStyle w:val="ListParagraph"/>
        <w:numPr>
          <w:ilvl w:val="0"/>
          <w:numId w:val="5"/>
        </w:numPr>
        <w:spacing w:after="0" w:line="240" w:lineRule="auto"/>
        <w:rPr>
          <w:rFonts w:eastAsiaTheme="minorEastAsia"/>
          <w:sz w:val="24"/>
          <w:szCs w:val="24"/>
        </w:rPr>
      </w:pPr>
      <w:r w:rsidRPr="2291EAE4">
        <w:rPr>
          <w:rFonts w:eastAsiaTheme="minorEastAsia"/>
          <w:b/>
          <w:bCs/>
          <w:sz w:val="24"/>
          <w:szCs w:val="24"/>
        </w:rPr>
        <w:t xml:space="preserve">Responsible research assessment: </w:t>
      </w:r>
      <w:r w:rsidRPr="2291EAE4">
        <w:rPr>
          <w:rFonts w:eastAsiaTheme="minorEastAsia"/>
          <w:sz w:val="24"/>
          <w:szCs w:val="24"/>
        </w:rPr>
        <w:t xml:space="preserve">Many </w:t>
      </w:r>
      <w:r w:rsidR="03B8DD05" w:rsidRPr="2291EAE4">
        <w:rPr>
          <w:rFonts w:eastAsiaTheme="minorEastAsia"/>
          <w:sz w:val="24"/>
          <w:szCs w:val="24"/>
        </w:rPr>
        <w:t>higher education institutions (</w:t>
      </w:r>
      <w:r w:rsidRPr="2291EAE4">
        <w:rPr>
          <w:rFonts w:eastAsiaTheme="minorEastAsia"/>
          <w:sz w:val="24"/>
          <w:szCs w:val="24"/>
        </w:rPr>
        <w:t>HEIs</w:t>
      </w:r>
      <w:r w:rsidR="14E30807" w:rsidRPr="2291EAE4">
        <w:rPr>
          <w:rFonts w:eastAsiaTheme="minorEastAsia"/>
          <w:sz w:val="24"/>
          <w:szCs w:val="24"/>
        </w:rPr>
        <w:t>)</w:t>
      </w:r>
      <w:r w:rsidRPr="2291EAE4">
        <w:rPr>
          <w:rFonts w:eastAsiaTheme="minorEastAsia"/>
          <w:sz w:val="24"/>
          <w:szCs w:val="24"/>
        </w:rPr>
        <w:t xml:space="preserve"> have signed </w:t>
      </w:r>
      <w:hyperlink r:id="rId13">
        <w:r w:rsidRPr="2291EAE4">
          <w:rPr>
            <w:rStyle w:val="Hyperlink"/>
            <w:rFonts w:eastAsiaTheme="minorEastAsia"/>
            <w:sz w:val="24"/>
            <w:szCs w:val="24"/>
          </w:rPr>
          <w:t>DORA</w:t>
        </w:r>
      </w:hyperlink>
      <w:r w:rsidRPr="2291EAE4">
        <w:rPr>
          <w:rFonts w:eastAsiaTheme="minorEastAsia"/>
          <w:sz w:val="24"/>
          <w:szCs w:val="24"/>
        </w:rPr>
        <w:t xml:space="preserve"> or adopted other principles of responsible research assessment. These encourage a move away from narrowly-focussed and poorly-constructed indicators of success towards more value-led and qualitative approaches. </w:t>
      </w:r>
      <w:r w:rsidRPr="2291EAE4">
        <w:rPr>
          <w:rFonts w:eastAsiaTheme="minorEastAsia"/>
          <w:b/>
          <w:bCs/>
          <w:sz w:val="24"/>
          <w:szCs w:val="24"/>
        </w:rPr>
        <w:t xml:space="preserve">More Than Our Rank </w:t>
      </w:r>
      <w:r w:rsidRPr="2291EAE4">
        <w:rPr>
          <w:rFonts w:eastAsiaTheme="minorEastAsia"/>
          <w:sz w:val="24"/>
          <w:szCs w:val="24"/>
        </w:rPr>
        <w:t>is formally supported by DORA, CWTS Leiden,</w:t>
      </w:r>
      <w:r w:rsidR="00A65CF9">
        <w:rPr>
          <w:rFonts w:eastAsiaTheme="minorEastAsia"/>
          <w:sz w:val="24"/>
          <w:szCs w:val="24"/>
        </w:rPr>
        <w:t xml:space="preserve"> the </w:t>
      </w:r>
      <w:r w:rsidR="00A65CF9" w:rsidRPr="2291EAE4">
        <w:rPr>
          <w:rFonts w:eastAsiaTheme="minorEastAsia"/>
          <w:sz w:val="24"/>
          <w:szCs w:val="24"/>
          <w:lang w:val="en-US"/>
        </w:rPr>
        <w:t>Latin American Forum on Scientific Evaluation</w:t>
      </w:r>
      <w:r w:rsidR="00A65CF9">
        <w:rPr>
          <w:rFonts w:eastAsiaTheme="minorEastAsia"/>
          <w:sz w:val="24"/>
          <w:szCs w:val="24"/>
          <w:lang w:val="en-US"/>
        </w:rPr>
        <w:t xml:space="preserve"> (</w:t>
      </w:r>
      <w:r w:rsidRPr="2291EAE4">
        <w:rPr>
          <w:rFonts w:eastAsiaTheme="minorEastAsia"/>
          <w:sz w:val="24"/>
          <w:szCs w:val="24"/>
        </w:rPr>
        <w:t>CLACSO FOLEC</w:t>
      </w:r>
      <w:r w:rsidR="00A65CF9">
        <w:rPr>
          <w:rFonts w:eastAsiaTheme="minorEastAsia"/>
          <w:sz w:val="24"/>
          <w:szCs w:val="24"/>
        </w:rPr>
        <w:t>)</w:t>
      </w:r>
      <w:r w:rsidRPr="2291EAE4">
        <w:rPr>
          <w:rFonts w:eastAsiaTheme="minorEastAsia"/>
          <w:sz w:val="24"/>
          <w:szCs w:val="24"/>
        </w:rPr>
        <w:t xml:space="preserve"> and others</w:t>
      </w:r>
      <w:r w:rsidR="00A65CF9">
        <w:rPr>
          <w:rFonts w:eastAsiaTheme="minorEastAsia"/>
          <w:sz w:val="24"/>
          <w:szCs w:val="24"/>
        </w:rPr>
        <w:t>,</w:t>
      </w:r>
      <w:r w:rsidRPr="2291EAE4">
        <w:rPr>
          <w:rFonts w:eastAsiaTheme="minorEastAsia"/>
          <w:sz w:val="24"/>
          <w:szCs w:val="24"/>
        </w:rPr>
        <w:t xml:space="preserve"> as a way of delivering on institutional principles of responsible research assessment. </w:t>
      </w:r>
    </w:p>
    <w:p w14:paraId="5EE0EC2E" w14:textId="269509B7" w:rsidR="568DAB65" w:rsidRDefault="568DAB65" w:rsidP="54C2DAAF">
      <w:pPr>
        <w:pStyle w:val="ListParagraph"/>
        <w:numPr>
          <w:ilvl w:val="0"/>
          <w:numId w:val="5"/>
        </w:numPr>
        <w:spacing w:line="240" w:lineRule="auto"/>
        <w:rPr>
          <w:sz w:val="24"/>
          <w:szCs w:val="24"/>
          <w:lang w:val="en-US"/>
        </w:rPr>
      </w:pPr>
      <w:r w:rsidRPr="11C79B6E">
        <w:rPr>
          <w:rFonts w:eastAsiaTheme="minorEastAsia"/>
          <w:b/>
          <w:bCs/>
          <w:sz w:val="24"/>
          <w:szCs w:val="24"/>
        </w:rPr>
        <w:t>Equity, diversity &amp; inclusion</w:t>
      </w:r>
      <w:r w:rsidR="28E35493" w:rsidRPr="11C79B6E">
        <w:rPr>
          <w:rFonts w:eastAsiaTheme="minorEastAsia"/>
          <w:b/>
          <w:bCs/>
          <w:sz w:val="24"/>
          <w:szCs w:val="24"/>
        </w:rPr>
        <w:t xml:space="preserve"> (EDI)</w:t>
      </w:r>
      <w:r w:rsidR="7BD0A093" w:rsidRPr="11C79B6E">
        <w:rPr>
          <w:rFonts w:eastAsiaTheme="minorEastAsia"/>
          <w:b/>
          <w:bCs/>
          <w:sz w:val="24"/>
          <w:szCs w:val="24"/>
        </w:rPr>
        <w:t xml:space="preserve">: </w:t>
      </w:r>
      <w:r w:rsidRPr="11C79B6E">
        <w:rPr>
          <w:sz w:val="24"/>
          <w:szCs w:val="24"/>
          <w:lang w:val="en-US"/>
        </w:rPr>
        <w:t>Rankings u</w:t>
      </w:r>
      <w:r w:rsidRPr="11C79B6E">
        <w:rPr>
          <w:rFonts w:eastAsiaTheme="minorEastAsia"/>
          <w:sz w:val="24"/>
          <w:szCs w:val="24"/>
          <w:lang w:val="en-US"/>
        </w:rPr>
        <w:t>se a model of institutional success that favours</w:t>
      </w:r>
      <w:r w:rsidR="60DD7CAE" w:rsidRPr="11C79B6E">
        <w:rPr>
          <w:rFonts w:eastAsiaTheme="minorEastAsia"/>
          <w:sz w:val="24"/>
          <w:szCs w:val="24"/>
          <w:lang w:val="en-US"/>
        </w:rPr>
        <w:t xml:space="preserve"> </w:t>
      </w:r>
      <w:r w:rsidRPr="11C79B6E">
        <w:rPr>
          <w:rFonts w:eastAsiaTheme="minorEastAsia"/>
          <w:sz w:val="24"/>
          <w:szCs w:val="24"/>
          <w:lang w:val="en-US"/>
        </w:rPr>
        <w:t xml:space="preserve">large, old, wealthy, </w:t>
      </w:r>
      <w:hyperlink r:id="rId14">
        <w:r w:rsidRPr="11C79B6E">
          <w:rPr>
            <w:rStyle w:val="Hyperlink"/>
            <w:rFonts w:eastAsiaTheme="minorEastAsia"/>
            <w:sz w:val="24"/>
            <w:szCs w:val="24"/>
            <w:lang w:val="en-US"/>
          </w:rPr>
          <w:t>English-speaking</w:t>
        </w:r>
      </w:hyperlink>
      <w:r w:rsidRPr="11C79B6E">
        <w:rPr>
          <w:rFonts w:eastAsiaTheme="minorEastAsia"/>
          <w:sz w:val="24"/>
          <w:szCs w:val="24"/>
          <w:lang w:val="en-US"/>
        </w:rPr>
        <w:t xml:space="preserve">, research-intensive institutions in the global north. Whilst these institutions are great, they are not </w:t>
      </w:r>
      <w:r w:rsidRPr="11C79B6E">
        <w:rPr>
          <w:rFonts w:eastAsiaTheme="minorEastAsia"/>
          <w:sz w:val="24"/>
          <w:szCs w:val="24"/>
          <w:lang w:val="en-US"/>
        </w:rPr>
        <w:lastRenderedPageBreak/>
        <w:t>the only ‘flavour’ of higher education. Such a model tends to exclude whole reg</w:t>
      </w:r>
      <w:r w:rsidRPr="11C79B6E">
        <w:rPr>
          <w:sz w:val="24"/>
          <w:szCs w:val="24"/>
          <w:lang w:val="en-US"/>
        </w:rPr>
        <w:t>ions (</w:t>
      </w:r>
      <w:r w:rsidR="5839AD1B" w:rsidRPr="11C79B6E">
        <w:rPr>
          <w:sz w:val="24"/>
          <w:szCs w:val="24"/>
          <w:lang w:val="en-US"/>
        </w:rPr>
        <w:t xml:space="preserve">e.g., </w:t>
      </w:r>
      <w:r w:rsidRPr="11C79B6E">
        <w:rPr>
          <w:sz w:val="24"/>
          <w:szCs w:val="24"/>
          <w:lang w:val="en-US"/>
        </w:rPr>
        <w:t xml:space="preserve">Latin America, Africa) from ranking highly and as such cannot be seen to be inclusive.  </w:t>
      </w:r>
      <w:r w:rsidRPr="11C79B6E">
        <w:rPr>
          <w:b/>
          <w:bCs/>
          <w:sz w:val="24"/>
          <w:szCs w:val="24"/>
          <w:lang w:val="en-US"/>
        </w:rPr>
        <w:t xml:space="preserve">More Than Our Rank </w:t>
      </w:r>
      <w:r w:rsidRPr="11C79B6E">
        <w:rPr>
          <w:sz w:val="24"/>
          <w:szCs w:val="24"/>
          <w:lang w:val="en-US"/>
        </w:rPr>
        <w:t xml:space="preserve">seeks to provide a much broader and inclusive definition of institutional success and </w:t>
      </w:r>
      <w:r w:rsidR="00A65CF9">
        <w:rPr>
          <w:sz w:val="24"/>
          <w:szCs w:val="24"/>
          <w:lang w:val="en-US"/>
        </w:rPr>
        <w:t>by</w:t>
      </w:r>
      <w:r w:rsidRPr="11C79B6E">
        <w:rPr>
          <w:sz w:val="24"/>
          <w:szCs w:val="24"/>
          <w:lang w:val="en-US"/>
        </w:rPr>
        <w:t xml:space="preserve"> participating </w:t>
      </w:r>
      <w:r w:rsidR="00A65CF9">
        <w:rPr>
          <w:sz w:val="24"/>
          <w:szCs w:val="24"/>
          <w:lang w:val="en-US"/>
        </w:rPr>
        <w:t xml:space="preserve">institutions </w:t>
      </w:r>
      <w:r w:rsidRPr="11C79B6E">
        <w:rPr>
          <w:sz w:val="24"/>
          <w:szCs w:val="24"/>
          <w:lang w:val="en-US"/>
        </w:rPr>
        <w:t xml:space="preserve">are celebrating diversity and promoting inclusivity. </w:t>
      </w:r>
    </w:p>
    <w:p w14:paraId="705EB148" w14:textId="79E1E47C" w:rsidR="568DAB65" w:rsidRDefault="568DAB65" w:rsidP="54C2DAAF">
      <w:pPr>
        <w:pStyle w:val="ListParagraph"/>
        <w:numPr>
          <w:ilvl w:val="0"/>
          <w:numId w:val="5"/>
        </w:numPr>
        <w:spacing w:after="0" w:line="240" w:lineRule="auto"/>
        <w:rPr>
          <w:rFonts w:eastAsiaTheme="minorEastAsia"/>
          <w:sz w:val="24"/>
          <w:szCs w:val="24"/>
        </w:rPr>
      </w:pPr>
      <w:r w:rsidRPr="54C2DAAF">
        <w:rPr>
          <w:rFonts w:eastAsiaTheme="minorEastAsia"/>
          <w:b/>
          <w:bCs/>
          <w:sz w:val="24"/>
          <w:szCs w:val="24"/>
        </w:rPr>
        <w:t>Collaboration</w:t>
      </w:r>
      <w:r w:rsidR="3A4D8B05" w:rsidRPr="54C2DAAF">
        <w:rPr>
          <w:rFonts w:eastAsiaTheme="minorEastAsia"/>
          <w:b/>
          <w:bCs/>
          <w:sz w:val="24"/>
          <w:szCs w:val="24"/>
        </w:rPr>
        <w:t xml:space="preserve">: </w:t>
      </w:r>
      <w:r w:rsidRPr="54C2DAAF">
        <w:rPr>
          <w:rFonts w:eastAsiaTheme="minorEastAsia"/>
          <w:sz w:val="24"/>
          <w:szCs w:val="24"/>
        </w:rPr>
        <w:t xml:space="preserve">Many HEIs prize collaboration with other institutions as a key way of delivering on their research ambitions. However, rankings are inherently competitive. They are a zero-sum game. When an institution celebrates breaking into the top 100, they are actually celebrating another institution dropping out. </w:t>
      </w:r>
      <w:r w:rsidRPr="54C2DAAF">
        <w:rPr>
          <w:rFonts w:eastAsiaTheme="minorEastAsia"/>
          <w:b/>
          <w:bCs/>
          <w:sz w:val="24"/>
          <w:szCs w:val="24"/>
        </w:rPr>
        <w:t xml:space="preserve">More Than Our Rank </w:t>
      </w:r>
      <w:r w:rsidRPr="54C2DAAF">
        <w:rPr>
          <w:rFonts w:eastAsiaTheme="minorEastAsia"/>
          <w:sz w:val="24"/>
          <w:szCs w:val="24"/>
        </w:rPr>
        <w:t>is inherently collaborative rather than competitive. All institutions have an equal opportunity to highlight their strengths and to join collaboratively with others doing the same.</w:t>
      </w:r>
    </w:p>
    <w:p w14:paraId="076361FF" w14:textId="77600A85" w:rsidR="568DAB65" w:rsidRDefault="568DAB65" w:rsidP="54C2DAAF">
      <w:pPr>
        <w:spacing w:after="0" w:line="240" w:lineRule="auto"/>
        <w:rPr>
          <w:rFonts w:eastAsiaTheme="minorEastAsia"/>
          <w:b/>
          <w:bCs/>
          <w:sz w:val="24"/>
          <w:szCs w:val="24"/>
        </w:rPr>
      </w:pPr>
    </w:p>
    <w:p w14:paraId="23D5DE4B" w14:textId="42315A5B" w:rsidR="568DAB65" w:rsidRPr="00A65CF9" w:rsidRDefault="54C2DAAF" w:rsidP="54C2DAAF">
      <w:pPr>
        <w:spacing w:after="0" w:line="240" w:lineRule="auto"/>
        <w:rPr>
          <w:rFonts w:eastAsiaTheme="minorEastAsia"/>
          <w:sz w:val="26"/>
          <w:szCs w:val="26"/>
        </w:rPr>
      </w:pPr>
      <w:r w:rsidRPr="00A65CF9">
        <w:rPr>
          <w:rFonts w:eastAsiaTheme="minorEastAsia"/>
          <w:b/>
          <w:bCs/>
          <w:sz w:val="26"/>
          <w:szCs w:val="26"/>
        </w:rPr>
        <w:t xml:space="preserve">4. </w:t>
      </w:r>
      <w:r w:rsidR="6A7041B7" w:rsidRPr="00A65CF9">
        <w:rPr>
          <w:rFonts w:eastAsiaTheme="minorEastAsia"/>
          <w:b/>
          <w:bCs/>
          <w:sz w:val="26"/>
          <w:szCs w:val="26"/>
        </w:rPr>
        <w:t xml:space="preserve">  </w:t>
      </w:r>
      <w:r w:rsidR="568DAB65" w:rsidRPr="00A65CF9">
        <w:rPr>
          <w:rFonts w:eastAsiaTheme="minorEastAsia"/>
          <w:b/>
          <w:bCs/>
          <w:sz w:val="26"/>
          <w:szCs w:val="26"/>
        </w:rPr>
        <w:t>You will get recognition for your commitment</w:t>
      </w:r>
    </w:p>
    <w:p w14:paraId="1AF072EF" w14:textId="2F4EF368" w:rsidR="568DAB65" w:rsidRDefault="568DAB65" w:rsidP="11C79B6E">
      <w:pPr>
        <w:spacing w:line="240" w:lineRule="auto"/>
        <w:rPr>
          <w:rFonts w:eastAsiaTheme="minorEastAsia"/>
          <w:sz w:val="24"/>
          <w:szCs w:val="24"/>
        </w:rPr>
      </w:pPr>
      <w:r w:rsidRPr="11C79B6E">
        <w:rPr>
          <w:rFonts w:eastAsiaTheme="minorEastAsia"/>
          <w:sz w:val="24"/>
          <w:szCs w:val="24"/>
        </w:rPr>
        <w:t>The INORMS Research Evaluation Group regularly promotes new signatories on social media and through other channels. This helps both to celebrate that institution’s achievements a</w:t>
      </w:r>
      <w:r w:rsidR="00A65CF9">
        <w:rPr>
          <w:rFonts w:eastAsiaTheme="minorEastAsia"/>
          <w:sz w:val="24"/>
          <w:szCs w:val="24"/>
        </w:rPr>
        <w:t>s</w:t>
      </w:r>
      <w:r w:rsidRPr="11C79B6E">
        <w:rPr>
          <w:rFonts w:eastAsiaTheme="minorEastAsia"/>
          <w:sz w:val="24"/>
          <w:szCs w:val="24"/>
        </w:rPr>
        <w:t xml:space="preserve"> listed in their statement but also provides recognition to institutions for living out their commitment to responsible research assessment</w:t>
      </w:r>
      <w:r w:rsidR="00A65CF9">
        <w:rPr>
          <w:rFonts w:eastAsiaTheme="minorEastAsia"/>
          <w:sz w:val="24"/>
          <w:szCs w:val="24"/>
        </w:rPr>
        <w:t>, e</w:t>
      </w:r>
      <w:r w:rsidR="55B26443" w:rsidRPr="11C79B6E">
        <w:rPr>
          <w:rFonts w:eastAsiaTheme="minorEastAsia"/>
          <w:sz w:val="24"/>
          <w:szCs w:val="24"/>
        </w:rPr>
        <w:t xml:space="preserve">quity, </w:t>
      </w:r>
      <w:r w:rsidR="00A65CF9">
        <w:rPr>
          <w:rFonts w:eastAsiaTheme="minorEastAsia"/>
          <w:sz w:val="24"/>
          <w:szCs w:val="24"/>
        </w:rPr>
        <w:t>d</w:t>
      </w:r>
      <w:r w:rsidR="00A65CF9" w:rsidRPr="11C79B6E">
        <w:rPr>
          <w:rFonts w:eastAsiaTheme="minorEastAsia"/>
          <w:sz w:val="24"/>
          <w:szCs w:val="24"/>
        </w:rPr>
        <w:t>iversity,</w:t>
      </w:r>
      <w:r w:rsidR="55B26443" w:rsidRPr="11C79B6E">
        <w:rPr>
          <w:rFonts w:eastAsiaTheme="minorEastAsia"/>
          <w:sz w:val="24"/>
          <w:szCs w:val="24"/>
        </w:rPr>
        <w:t xml:space="preserve"> and </w:t>
      </w:r>
      <w:r w:rsidR="00A65CF9">
        <w:rPr>
          <w:rFonts w:eastAsiaTheme="minorEastAsia"/>
          <w:sz w:val="24"/>
          <w:szCs w:val="24"/>
        </w:rPr>
        <w:t>i</w:t>
      </w:r>
      <w:r w:rsidR="55B26443" w:rsidRPr="11C79B6E">
        <w:rPr>
          <w:rFonts w:eastAsiaTheme="minorEastAsia"/>
          <w:sz w:val="24"/>
          <w:szCs w:val="24"/>
        </w:rPr>
        <w:t>nclusion</w:t>
      </w:r>
      <w:r w:rsidRPr="11C79B6E">
        <w:rPr>
          <w:rFonts w:eastAsiaTheme="minorEastAsia"/>
          <w:sz w:val="24"/>
          <w:szCs w:val="24"/>
        </w:rPr>
        <w:t>.</w:t>
      </w:r>
    </w:p>
    <w:p w14:paraId="73C8C544" w14:textId="7F394027" w:rsidR="568DAB65" w:rsidRPr="00A65CF9" w:rsidRDefault="34D071C0" w:rsidP="2291EAE4">
      <w:pPr>
        <w:spacing w:after="0" w:line="240" w:lineRule="auto"/>
        <w:rPr>
          <w:rFonts w:eastAsiaTheme="minorEastAsia"/>
          <w:b/>
          <w:bCs/>
          <w:sz w:val="26"/>
          <w:szCs w:val="26"/>
        </w:rPr>
      </w:pPr>
      <w:r w:rsidRPr="00A65CF9">
        <w:rPr>
          <w:rFonts w:eastAsiaTheme="minorEastAsia"/>
          <w:b/>
          <w:bCs/>
          <w:sz w:val="26"/>
          <w:szCs w:val="26"/>
        </w:rPr>
        <w:t xml:space="preserve">5.   </w:t>
      </w:r>
      <w:r w:rsidR="568DAB65" w:rsidRPr="00A65CF9">
        <w:rPr>
          <w:rFonts w:eastAsiaTheme="minorEastAsia"/>
          <w:b/>
          <w:bCs/>
          <w:sz w:val="26"/>
          <w:szCs w:val="26"/>
        </w:rPr>
        <w:t xml:space="preserve">You </w:t>
      </w:r>
      <w:r w:rsidR="788F10AB" w:rsidRPr="00A65CF9">
        <w:rPr>
          <w:rFonts w:eastAsiaTheme="minorEastAsia"/>
          <w:b/>
          <w:bCs/>
          <w:sz w:val="26"/>
          <w:szCs w:val="26"/>
        </w:rPr>
        <w:t xml:space="preserve">will </w:t>
      </w:r>
      <w:r w:rsidR="7A441262" w:rsidRPr="00A65CF9">
        <w:rPr>
          <w:rFonts w:eastAsiaTheme="minorEastAsia"/>
          <w:b/>
          <w:bCs/>
          <w:sz w:val="26"/>
          <w:szCs w:val="26"/>
        </w:rPr>
        <w:t>be proactive in meeting expectations of funding agencies</w:t>
      </w:r>
    </w:p>
    <w:p w14:paraId="5A804745" w14:textId="3A916AC7" w:rsidR="568DAB65" w:rsidRDefault="568DAB65" w:rsidP="2ADCA1BE">
      <w:pPr>
        <w:spacing w:after="0" w:line="240" w:lineRule="auto"/>
        <w:rPr>
          <w:rFonts w:eastAsiaTheme="minorEastAsia"/>
          <w:sz w:val="24"/>
          <w:szCs w:val="24"/>
        </w:rPr>
      </w:pPr>
      <w:r w:rsidRPr="11C79B6E">
        <w:rPr>
          <w:rFonts w:eastAsiaTheme="minorEastAsia"/>
          <w:sz w:val="24"/>
          <w:szCs w:val="24"/>
        </w:rPr>
        <w:t>Many research funding organisations including the Global Research Council, the European Commission, and UK Research &amp; Innovation (UKRI) are developing approaches to evaluating</w:t>
      </w:r>
      <w:r w:rsidR="57E18344" w:rsidRPr="11C79B6E">
        <w:rPr>
          <w:rFonts w:eastAsiaTheme="minorEastAsia"/>
          <w:sz w:val="24"/>
          <w:szCs w:val="24"/>
        </w:rPr>
        <w:t xml:space="preserve"> research</w:t>
      </w:r>
      <w:r w:rsidRPr="11C79B6E">
        <w:rPr>
          <w:rFonts w:eastAsiaTheme="minorEastAsia"/>
          <w:sz w:val="24"/>
          <w:szCs w:val="24"/>
        </w:rPr>
        <w:t xml:space="preserve"> more responsibly</w:t>
      </w:r>
      <w:r w:rsidR="0ECD0345" w:rsidRPr="11C79B6E">
        <w:rPr>
          <w:rFonts w:eastAsiaTheme="minorEastAsia"/>
          <w:sz w:val="24"/>
          <w:szCs w:val="24"/>
        </w:rPr>
        <w:t>,</w:t>
      </w:r>
      <w:r w:rsidRPr="11C79B6E">
        <w:rPr>
          <w:rFonts w:eastAsiaTheme="minorEastAsia"/>
          <w:sz w:val="24"/>
          <w:szCs w:val="24"/>
        </w:rPr>
        <w:t xml:space="preserve"> and </w:t>
      </w:r>
      <w:r w:rsidR="291C0771" w:rsidRPr="11C79B6E">
        <w:rPr>
          <w:rFonts w:eastAsiaTheme="minorEastAsia"/>
          <w:sz w:val="24"/>
          <w:szCs w:val="24"/>
        </w:rPr>
        <w:t xml:space="preserve">they are </w:t>
      </w:r>
      <w:r w:rsidRPr="11C79B6E">
        <w:rPr>
          <w:rFonts w:eastAsiaTheme="minorEastAsia"/>
          <w:sz w:val="24"/>
          <w:szCs w:val="24"/>
        </w:rPr>
        <w:t>expecting the organisations they fund to do the same. A</w:t>
      </w:r>
      <w:r w:rsidR="05D51AF6" w:rsidRPr="11C79B6E">
        <w:rPr>
          <w:rFonts w:eastAsiaTheme="minorEastAsia"/>
          <w:sz w:val="24"/>
          <w:szCs w:val="24"/>
        </w:rPr>
        <w:t xml:space="preserve"> good number of</w:t>
      </w:r>
      <w:r w:rsidRPr="11C79B6E">
        <w:rPr>
          <w:rFonts w:eastAsiaTheme="minorEastAsia"/>
          <w:sz w:val="24"/>
          <w:szCs w:val="24"/>
        </w:rPr>
        <w:t xml:space="preserve"> </w:t>
      </w:r>
      <w:hyperlink r:id="rId15">
        <w:r w:rsidRPr="11C79B6E">
          <w:rPr>
            <w:rStyle w:val="Hyperlink"/>
            <w:rFonts w:eastAsiaTheme="minorEastAsia"/>
            <w:sz w:val="24"/>
            <w:szCs w:val="24"/>
          </w:rPr>
          <w:t>research funders</w:t>
        </w:r>
      </w:hyperlink>
      <w:r w:rsidRPr="11C79B6E">
        <w:rPr>
          <w:rFonts w:eastAsiaTheme="minorEastAsia"/>
          <w:sz w:val="24"/>
          <w:szCs w:val="24"/>
        </w:rPr>
        <w:t xml:space="preserve"> have signed up to the </w:t>
      </w:r>
      <w:hyperlink r:id="rId16">
        <w:r w:rsidRPr="11C79B6E">
          <w:rPr>
            <w:rStyle w:val="Hyperlink"/>
            <w:rFonts w:eastAsiaTheme="minorEastAsia"/>
            <w:sz w:val="24"/>
            <w:szCs w:val="24"/>
          </w:rPr>
          <w:t>Co</w:t>
        </w:r>
        <w:r w:rsidR="5F45294C" w:rsidRPr="11C79B6E">
          <w:rPr>
            <w:rStyle w:val="Hyperlink"/>
            <w:rFonts w:eastAsiaTheme="minorEastAsia"/>
            <w:sz w:val="24"/>
            <w:szCs w:val="24"/>
          </w:rPr>
          <w:t xml:space="preserve">alition </w:t>
        </w:r>
        <w:r w:rsidR="610D1F8A" w:rsidRPr="11C79B6E">
          <w:rPr>
            <w:rStyle w:val="Hyperlink"/>
            <w:rFonts w:eastAsiaTheme="minorEastAsia"/>
            <w:sz w:val="24"/>
            <w:szCs w:val="24"/>
          </w:rPr>
          <w:t>on Advancing Research Assessment</w:t>
        </w:r>
        <w:r w:rsidR="5373371B" w:rsidRPr="11C79B6E">
          <w:rPr>
            <w:rStyle w:val="Hyperlink"/>
            <w:rFonts w:eastAsiaTheme="minorEastAsia"/>
            <w:sz w:val="24"/>
            <w:szCs w:val="24"/>
          </w:rPr>
          <w:t xml:space="preserve"> (CoARA)</w:t>
        </w:r>
      </w:hyperlink>
      <w:r w:rsidR="5373371B" w:rsidRPr="11C79B6E">
        <w:rPr>
          <w:rFonts w:eastAsiaTheme="minorEastAsia"/>
          <w:sz w:val="24"/>
          <w:szCs w:val="24"/>
        </w:rPr>
        <w:t xml:space="preserve"> Agreement</w:t>
      </w:r>
      <w:r w:rsidRPr="11C79B6E">
        <w:rPr>
          <w:rFonts w:eastAsiaTheme="minorEastAsia"/>
          <w:sz w:val="24"/>
          <w:szCs w:val="24"/>
        </w:rPr>
        <w:t xml:space="preserve"> on Reforming Research Assessment which has as one of its four core commitments the need to avoid using rankings in the assessment of researchers. </w:t>
      </w:r>
      <w:r w:rsidR="00A65CF9">
        <w:rPr>
          <w:rFonts w:eastAsiaTheme="minorEastAsia"/>
          <w:sz w:val="24"/>
          <w:szCs w:val="24"/>
        </w:rPr>
        <w:t>The</w:t>
      </w:r>
      <w:r w:rsidRPr="11C79B6E">
        <w:rPr>
          <w:rFonts w:eastAsiaTheme="minorEastAsia"/>
          <w:sz w:val="24"/>
          <w:szCs w:val="24"/>
        </w:rPr>
        <w:t xml:space="preserve"> </w:t>
      </w:r>
      <w:hyperlink r:id="rId17" w:history="1">
        <w:r w:rsidRPr="00A65CF9">
          <w:rPr>
            <w:rStyle w:val="Hyperlink"/>
            <w:rFonts w:eastAsiaTheme="minorEastAsia"/>
            <w:sz w:val="24"/>
            <w:szCs w:val="24"/>
          </w:rPr>
          <w:t xml:space="preserve">independent review of priorities in </w:t>
        </w:r>
        <w:r w:rsidR="00A65CF9">
          <w:rPr>
            <w:rStyle w:val="Hyperlink"/>
            <w:rFonts w:eastAsiaTheme="minorEastAsia"/>
            <w:sz w:val="24"/>
            <w:szCs w:val="24"/>
          </w:rPr>
          <w:t xml:space="preserve">UK </w:t>
        </w:r>
        <w:r w:rsidRPr="00A65CF9">
          <w:rPr>
            <w:rStyle w:val="Hyperlink"/>
            <w:rFonts w:eastAsiaTheme="minorEastAsia"/>
            <w:sz w:val="24"/>
            <w:szCs w:val="24"/>
          </w:rPr>
          <w:t>research assessment</w:t>
        </w:r>
      </w:hyperlink>
      <w:r w:rsidRPr="11C79B6E">
        <w:rPr>
          <w:rFonts w:eastAsiaTheme="minorEastAsia"/>
          <w:sz w:val="24"/>
          <w:szCs w:val="24"/>
        </w:rPr>
        <w:t xml:space="preserve"> listed as one of its ten recommendations the need for institutions to engage more responsibly with university rankings, including considering signing up to </w:t>
      </w:r>
      <w:r w:rsidRPr="11C79B6E">
        <w:rPr>
          <w:rFonts w:eastAsiaTheme="minorEastAsia"/>
          <w:b/>
          <w:bCs/>
          <w:sz w:val="24"/>
          <w:szCs w:val="24"/>
        </w:rPr>
        <w:t xml:space="preserve">More Than Our Rank. </w:t>
      </w:r>
    </w:p>
    <w:p w14:paraId="477C2F17" w14:textId="608DF9AC" w:rsidR="2291EAE4" w:rsidRDefault="2291EAE4" w:rsidP="2291EAE4">
      <w:pPr>
        <w:spacing w:after="0" w:line="240" w:lineRule="auto"/>
        <w:rPr>
          <w:b/>
          <w:bCs/>
          <w:sz w:val="24"/>
          <w:szCs w:val="24"/>
          <w:lang w:val="en-US"/>
        </w:rPr>
      </w:pPr>
    </w:p>
    <w:p w14:paraId="13EF0C9C" w14:textId="227D396D" w:rsidR="568DAB65" w:rsidRPr="00A65CF9" w:rsidRDefault="082F2788" w:rsidP="2291EAE4">
      <w:pPr>
        <w:spacing w:after="0" w:line="240" w:lineRule="auto"/>
        <w:rPr>
          <w:b/>
          <w:bCs/>
          <w:sz w:val="26"/>
          <w:szCs w:val="26"/>
          <w:lang w:val="en-US"/>
        </w:rPr>
      </w:pPr>
      <w:r w:rsidRPr="00A65CF9">
        <w:rPr>
          <w:b/>
          <w:bCs/>
          <w:sz w:val="26"/>
          <w:szCs w:val="26"/>
          <w:lang w:val="en-US"/>
        </w:rPr>
        <w:t xml:space="preserve">6.   </w:t>
      </w:r>
      <w:r w:rsidR="568DAB65" w:rsidRPr="00A65CF9">
        <w:rPr>
          <w:b/>
          <w:bCs/>
          <w:sz w:val="26"/>
          <w:szCs w:val="26"/>
          <w:lang w:val="en-US"/>
        </w:rPr>
        <w:t>You’ll be in good company</w:t>
      </w:r>
    </w:p>
    <w:p w14:paraId="4EAE3D63" w14:textId="213629C5" w:rsidR="568DAB65" w:rsidRDefault="568DAB65" w:rsidP="2291EAE4">
      <w:pPr>
        <w:spacing w:after="0" w:line="240" w:lineRule="auto"/>
        <w:rPr>
          <w:b/>
          <w:bCs/>
          <w:sz w:val="24"/>
          <w:szCs w:val="24"/>
          <w:lang w:val="en-US"/>
        </w:rPr>
      </w:pPr>
      <w:r w:rsidRPr="2291EAE4">
        <w:rPr>
          <w:sz w:val="24"/>
          <w:szCs w:val="24"/>
          <w:lang w:val="en-US"/>
        </w:rPr>
        <w:t xml:space="preserve">More institutions are signing up to </w:t>
      </w:r>
      <w:r w:rsidRPr="2291EAE4">
        <w:rPr>
          <w:b/>
          <w:bCs/>
          <w:sz w:val="24"/>
          <w:szCs w:val="24"/>
          <w:lang w:val="en-US"/>
        </w:rPr>
        <w:t>More T</w:t>
      </w:r>
      <w:r w:rsidRPr="2291EAE4">
        <w:rPr>
          <w:rFonts w:eastAsiaTheme="minorEastAsia"/>
          <w:b/>
          <w:bCs/>
          <w:sz w:val="24"/>
          <w:szCs w:val="24"/>
          <w:lang w:val="en-US"/>
        </w:rPr>
        <w:t xml:space="preserve">han Our Rank </w:t>
      </w:r>
      <w:r w:rsidRPr="2291EAE4">
        <w:rPr>
          <w:rFonts w:eastAsiaTheme="minorEastAsia"/>
          <w:sz w:val="24"/>
          <w:szCs w:val="24"/>
          <w:lang w:val="en-US"/>
        </w:rPr>
        <w:t>every week from all over the world. And a wide range of organisations have endorsed the initiative, such as the European University Association, Latin American Forum on Scientific Evaluation, Science Europe, and the Europe</w:t>
      </w:r>
      <w:r w:rsidR="00DD7E25" w:rsidRPr="2291EAE4">
        <w:rPr>
          <w:rFonts w:eastAsiaTheme="minorEastAsia"/>
          <w:sz w:val="24"/>
          <w:szCs w:val="24"/>
          <w:lang w:val="en-US"/>
        </w:rPr>
        <w:t>a</w:t>
      </w:r>
      <w:r w:rsidRPr="2291EAE4">
        <w:rPr>
          <w:rFonts w:eastAsiaTheme="minorEastAsia"/>
          <w:sz w:val="24"/>
          <w:szCs w:val="24"/>
          <w:lang w:val="en-US"/>
        </w:rPr>
        <w:t>n Consortium of Innovative Un</w:t>
      </w:r>
      <w:r w:rsidRPr="2291EAE4">
        <w:rPr>
          <w:sz w:val="24"/>
          <w:szCs w:val="24"/>
          <w:lang w:val="en-US"/>
        </w:rPr>
        <w:t xml:space="preserve">iversities. </w:t>
      </w:r>
    </w:p>
    <w:p w14:paraId="286B71CD" w14:textId="694FD964" w:rsidR="2291EAE4" w:rsidRDefault="2291EAE4" w:rsidP="2291EAE4">
      <w:pPr>
        <w:spacing w:after="0" w:line="240" w:lineRule="auto"/>
        <w:rPr>
          <w:b/>
          <w:bCs/>
          <w:sz w:val="24"/>
          <w:szCs w:val="24"/>
          <w:lang w:val="en-US"/>
        </w:rPr>
      </w:pPr>
    </w:p>
    <w:p w14:paraId="6A469A9A" w14:textId="6D991273" w:rsidR="568DAB65" w:rsidRPr="00A65CF9" w:rsidRDefault="4F56790F" w:rsidP="2291EAE4">
      <w:pPr>
        <w:spacing w:after="0" w:line="240" w:lineRule="auto"/>
        <w:rPr>
          <w:b/>
          <w:bCs/>
          <w:sz w:val="26"/>
          <w:szCs w:val="26"/>
          <w:lang w:val="en-US"/>
        </w:rPr>
      </w:pPr>
      <w:r w:rsidRPr="00A65CF9">
        <w:rPr>
          <w:b/>
          <w:bCs/>
          <w:sz w:val="26"/>
          <w:szCs w:val="26"/>
          <w:lang w:val="en-US"/>
        </w:rPr>
        <w:t xml:space="preserve">7.   </w:t>
      </w:r>
      <w:r w:rsidR="568DAB65" w:rsidRPr="00A65CF9">
        <w:rPr>
          <w:b/>
          <w:bCs/>
          <w:sz w:val="26"/>
          <w:szCs w:val="26"/>
          <w:lang w:val="en-US"/>
        </w:rPr>
        <w:t>It’s free!</w:t>
      </w:r>
    </w:p>
    <w:p w14:paraId="3D9C8D85" w14:textId="218F4A25" w:rsidR="568DAB65" w:rsidRDefault="568DAB65" w:rsidP="2291EAE4">
      <w:pPr>
        <w:spacing w:after="0" w:line="240" w:lineRule="auto"/>
        <w:rPr>
          <w:b/>
          <w:bCs/>
          <w:sz w:val="24"/>
          <w:szCs w:val="24"/>
          <w:lang w:val="en-US"/>
        </w:rPr>
      </w:pPr>
      <w:r w:rsidRPr="2291EAE4">
        <w:rPr>
          <w:sz w:val="24"/>
          <w:szCs w:val="24"/>
          <w:lang w:val="en-US"/>
        </w:rPr>
        <w:t xml:space="preserve">There is no cost to signing up to </w:t>
      </w:r>
      <w:r w:rsidRPr="2291EAE4">
        <w:rPr>
          <w:b/>
          <w:bCs/>
          <w:sz w:val="24"/>
          <w:szCs w:val="24"/>
          <w:lang w:val="en-US"/>
        </w:rPr>
        <w:t>More Than Our Rank.</w:t>
      </w:r>
    </w:p>
    <w:p w14:paraId="24568E23" w14:textId="1D7F4A7A" w:rsidR="2291EAE4" w:rsidRDefault="2291EAE4" w:rsidP="2291EAE4">
      <w:pPr>
        <w:spacing w:after="0" w:line="240" w:lineRule="auto"/>
        <w:rPr>
          <w:b/>
          <w:bCs/>
          <w:sz w:val="24"/>
          <w:szCs w:val="24"/>
          <w:lang w:val="en-US"/>
        </w:rPr>
      </w:pPr>
    </w:p>
    <w:p w14:paraId="3EE5BDE1" w14:textId="7EBF1244" w:rsidR="568DAB65" w:rsidRPr="00A65CF9" w:rsidRDefault="5FB98457" w:rsidP="2291EAE4">
      <w:pPr>
        <w:spacing w:after="0" w:line="240" w:lineRule="auto"/>
        <w:rPr>
          <w:b/>
          <w:bCs/>
          <w:sz w:val="26"/>
          <w:szCs w:val="26"/>
          <w:lang w:val="en-US"/>
        </w:rPr>
      </w:pPr>
      <w:r w:rsidRPr="00A65CF9">
        <w:rPr>
          <w:b/>
          <w:bCs/>
          <w:sz w:val="26"/>
          <w:szCs w:val="26"/>
          <w:lang w:val="en-US"/>
        </w:rPr>
        <w:t xml:space="preserve">8.   </w:t>
      </w:r>
      <w:r w:rsidR="568DAB65" w:rsidRPr="00A65CF9">
        <w:rPr>
          <w:b/>
          <w:bCs/>
          <w:sz w:val="26"/>
          <w:szCs w:val="26"/>
          <w:lang w:val="en-US"/>
        </w:rPr>
        <w:t>It’s simple</w:t>
      </w:r>
    </w:p>
    <w:p w14:paraId="503FB8FA" w14:textId="7A417A6F" w:rsidR="568DAB65" w:rsidRDefault="568DAB65" w:rsidP="2291EAE4">
      <w:pPr>
        <w:pStyle w:val="ListParagraph"/>
        <w:numPr>
          <w:ilvl w:val="0"/>
          <w:numId w:val="6"/>
        </w:numPr>
        <w:spacing w:after="0" w:line="240" w:lineRule="auto"/>
        <w:rPr>
          <w:rFonts w:eastAsiaTheme="minorEastAsia"/>
          <w:sz w:val="24"/>
          <w:szCs w:val="24"/>
          <w:lang w:val="en-US"/>
        </w:rPr>
      </w:pPr>
      <w:r w:rsidRPr="2291EAE4">
        <w:rPr>
          <w:rFonts w:eastAsiaTheme="minorEastAsia"/>
          <w:sz w:val="24"/>
          <w:szCs w:val="24"/>
          <w:lang w:val="en-US"/>
        </w:rPr>
        <w:t xml:space="preserve">Sign up via the </w:t>
      </w:r>
      <w:hyperlink r:id="rId18">
        <w:r w:rsidRPr="2291EAE4">
          <w:rPr>
            <w:rStyle w:val="Hyperlink"/>
            <w:rFonts w:eastAsiaTheme="minorEastAsia"/>
            <w:sz w:val="24"/>
            <w:szCs w:val="24"/>
            <w:lang w:val="en-US"/>
          </w:rPr>
          <w:t xml:space="preserve">INORMS </w:t>
        </w:r>
        <w:r w:rsidRPr="2291EAE4">
          <w:rPr>
            <w:rStyle w:val="Hyperlink"/>
            <w:rFonts w:eastAsiaTheme="minorEastAsia"/>
            <w:i/>
            <w:iCs/>
            <w:sz w:val="24"/>
            <w:szCs w:val="24"/>
            <w:lang w:val="en-US"/>
          </w:rPr>
          <w:t xml:space="preserve">More Than Our Rank </w:t>
        </w:r>
        <w:r w:rsidRPr="2291EAE4">
          <w:rPr>
            <w:rStyle w:val="Hyperlink"/>
            <w:rFonts w:eastAsiaTheme="minorEastAsia"/>
            <w:sz w:val="24"/>
            <w:szCs w:val="24"/>
            <w:lang w:val="en-US"/>
          </w:rPr>
          <w:t>web page</w:t>
        </w:r>
      </w:hyperlink>
      <w:r w:rsidR="00A65CF9">
        <w:rPr>
          <w:rStyle w:val="Hyperlink"/>
          <w:rFonts w:eastAsiaTheme="minorEastAsia"/>
          <w:sz w:val="24"/>
          <w:szCs w:val="24"/>
          <w:lang w:val="en-US"/>
        </w:rPr>
        <w:t>;</w:t>
      </w:r>
    </w:p>
    <w:p w14:paraId="3B2C5842" w14:textId="77BA255D" w:rsidR="568DAB65" w:rsidRDefault="568DAB65" w:rsidP="2291EAE4">
      <w:pPr>
        <w:pStyle w:val="ListParagraph"/>
        <w:numPr>
          <w:ilvl w:val="0"/>
          <w:numId w:val="6"/>
        </w:numPr>
        <w:spacing w:after="0" w:line="240" w:lineRule="auto"/>
        <w:rPr>
          <w:rFonts w:eastAsiaTheme="minorEastAsia"/>
          <w:sz w:val="24"/>
          <w:szCs w:val="24"/>
          <w:lang w:val="en-US"/>
        </w:rPr>
      </w:pPr>
      <w:r w:rsidRPr="2291EAE4">
        <w:rPr>
          <w:rFonts w:eastAsiaTheme="minorEastAsia"/>
          <w:sz w:val="24"/>
          <w:szCs w:val="24"/>
          <w:lang w:val="en-US"/>
        </w:rPr>
        <w:t>Write a statement describing how you are more than your rank</w:t>
      </w:r>
      <w:r w:rsidR="00A65CF9">
        <w:rPr>
          <w:rFonts w:eastAsiaTheme="minorEastAsia"/>
          <w:sz w:val="24"/>
          <w:szCs w:val="24"/>
          <w:lang w:val="en-US"/>
        </w:rPr>
        <w:t>;</w:t>
      </w:r>
    </w:p>
    <w:p w14:paraId="0B4B158A" w14:textId="3B384F28" w:rsidR="568DAB65" w:rsidRDefault="568DAB65" w:rsidP="2291EAE4">
      <w:pPr>
        <w:pStyle w:val="ListParagraph"/>
        <w:numPr>
          <w:ilvl w:val="0"/>
          <w:numId w:val="6"/>
        </w:numPr>
        <w:spacing w:after="0" w:line="240" w:lineRule="auto"/>
        <w:rPr>
          <w:rFonts w:eastAsiaTheme="minorEastAsia"/>
          <w:sz w:val="24"/>
          <w:szCs w:val="24"/>
          <w:lang w:val="en-US"/>
        </w:rPr>
      </w:pPr>
      <w:r w:rsidRPr="2291EAE4">
        <w:rPr>
          <w:rFonts w:eastAsiaTheme="minorEastAsia"/>
          <w:sz w:val="24"/>
          <w:szCs w:val="24"/>
          <w:lang w:val="en-US"/>
        </w:rPr>
        <w:t>Add th</w:t>
      </w:r>
      <w:r w:rsidR="6E732F9E" w:rsidRPr="2291EAE4">
        <w:rPr>
          <w:rFonts w:eastAsiaTheme="minorEastAsia"/>
          <w:sz w:val="24"/>
          <w:szCs w:val="24"/>
          <w:lang w:val="en-US"/>
        </w:rPr>
        <w:t>is</w:t>
      </w:r>
      <w:r w:rsidRPr="2291EAE4">
        <w:rPr>
          <w:rFonts w:eastAsiaTheme="minorEastAsia"/>
          <w:sz w:val="24"/>
          <w:szCs w:val="24"/>
          <w:lang w:val="en-US"/>
        </w:rPr>
        <w:t xml:space="preserve"> statement </w:t>
      </w:r>
      <w:r w:rsidR="6B5BFF3E" w:rsidRPr="2291EAE4">
        <w:rPr>
          <w:rFonts w:eastAsiaTheme="minorEastAsia"/>
          <w:sz w:val="24"/>
          <w:szCs w:val="24"/>
          <w:lang w:val="en-US"/>
        </w:rPr>
        <w:t>and</w:t>
      </w:r>
      <w:r w:rsidRPr="2291EAE4">
        <w:rPr>
          <w:rFonts w:eastAsiaTheme="minorEastAsia"/>
          <w:sz w:val="24"/>
          <w:szCs w:val="24"/>
          <w:lang w:val="en-US"/>
        </w:rPr>
        <w:t xml:space="preserve"> the MTOR </w:t>
      </w:r>
      <w:hyperlink r:id="rId19">
        <w:r w:rsidRPr="2291EAE4">
          <w:rPr>
            <w:rStyle w:val="Hyperlink"/>
            <w:rFonts w:eastAsiaTheme="minorEastAsia"/>
            <w:sz w:val="24"/>
            <w:szCs w:val="24"/>
            <w:lang w:val="en-US"/>
          </w:rPr>
          <w:t>logo</w:t>
        </w:r>
      </w:hyperlink>
      <w:r w:rsidRPr="2291EAE4">
        <w:rPr>
          <w:rFonts w:eastAsiaTheme="minorEastAsia"/>
          <w:sz w:val="24"/>
          <w:szCs w:val="24"/>
          <w:lang w:val="en-US"/>
        </w:rPr>
        <w:t xml:space="preserve"> to your web page</w:t>
      </w:r>
      <w:r w:rsidR="00A65CF9">
        <w:rPr>
          <w:rFonts w:eastAsiaTheme="minorEastAsia"/>
          <w:sz w:val="24"/>
          <w:szCs w:val="24"/>
          <w:lang w:val="en-US"/>
        </w:rPr>
        <w:t>.</w:t>
      </w:r>
    </w:p>
    <w:p w14:paraId="062EFEED" w14:textId="2669CF9D" w:rsidR="2291EAE4" w:rsidRDefault="2291EAE4" w:rsidP="2291EAE4">
      <w:pPr>
        <w:spacing w:after="0" w:line="240" w:lineRule="auto"/>
        <w:rPr>
          <w:rFonts w:eastAsiaTheme="minorEastAsia"/>
          <w:sz w:val="24"/>
          <w:szCs w:val="24"/>
          <w:lang w:val="en-US"/>
        </w:rPr>
      </w:pPr>
    </w:p>
    <w:p w14:paraId="24D4A284" w14:textId="629DC4FA" w:rsidR="161F9265" w:rsidRDefault="568DAB65" w:rsidP="00373881">
      <w:pPr>
        <w:spacing w:after="0" w:line="240" w:lineRule="auto"/>
      </w:pPr>
      <w:r w:rsidRPr="00A65CF9">
        <w:rPr>
          <w:b/>
          <w:bCs/>
          <w:color w:val="ED7D31" w:themeColor="accent2"/>
          <w:sz w:val="28"/>
          <w:szCs w:val="28"/>
          <w:lang w:val="en-US"/>
        </w:rPr>
        <w:t>That’s it!</w:t>
      </w:r>
      <w:r w:rsidR="161F9265">
        <w:br w:type="page"/>
      </w:r>
    </w:p>
    <w:p w14:paraId="4A9528FF" w14:textId="7CF1BE3A" w:rsidR="568DAB65" w:rsidRPr="00A65CF9" w:rsidRDefault="568DAB65" w:rsidP="004010B4">
      <w:pPr>
        <w:spacing w:line="240" w:lineRule="auto"/>
        <w:ind w:left="360" w:hanging="360"/>
        <w:rPr>
          <w:b/>
          <w:bCs/>
          <w:color w:val="ED7D31" w:themeColor="accent2"/>
          <w:lang w:val="en-US"/>
        </w:rPr>
      </w:pPr>
      <w:r w:rsidRPr="00A65CF9">
        <w:rPr>
          <w:b/>
          <w:bCs/>
          <w:color w:val="ED7D31" w:themeColor="accent2"/>
          <w:sz w:val="28"/>
          <w:szCs w:val="28"/>
          <w:lang w:val="en-US"/>
        </w:rPr>
        <w:lastRenderedPageBreak/>
        <w:t>Addressing institution concerns</w:t>
      </w:r>
    </w:p>
    <w:p w14:paraId="5D61A8D4" w14:textId="4C7D16E1" w:rsidR="568DAB65" w:rsidRPr="00373881" w:rsidRDefault="568DAB65" w:rsidP="00A65CF9">
      <w:pPr>
        <w:pStyle w:val="Heading2"/>
        <w:numPr>
          <w:ilvl w:val="0"/>
          <w:numId w:val="15"/>
        </w:numPr>
        <w:ind w:left="360"/>
        <w:rPr>
          <w:rFonts w:asciiTheme="minorHAnsi" w:hAnsiTheme="minorHAnsi" w:cstheme="minorHAnsi"/>
          <w:b/>
          <w:bCs/>
          <w:color w:val="833C0B" w:themeColor="accent2" w:themeShade="80"/>
        </w:rPr>
      </w:pPr>
      <w:r w:rsidRPr="00373881">
        <w:rPr>
          <w:rFonts w:asciiTheme="minorHAnsi" w:hAnsiTheme="minorHAnsi" w:cstheme="minorHAnsi"/>
          <w:b/>
          <w:bCs/>
          <w:color w:val="833C0B" w:themeColor="accent2" w:themeShade="80"/>
        </w:rPr>
        <w:t>Does this mean we’d have to stop promoting our ranking position?</w:t>
      </w:r>
    </w:p>
    <w:p w14:paraId="08C740BF" w14:textId="3585D52B" w:rsidR="161F9265" w:rsidRDefault="568DAB65" w:rsidP="00A65CF9">
      <w:pPr>
        <w:pStyle w:val="ListParagraph"/>
        <w:numPr>
          <w:ilvl w:val="0"/>
          <w:numId w:val="15"/>
        </w:numPr>
        <w:spacing w:line="240" w:lineRule="auto"/>
        <w:jc w:val="both"/>
        <w:rPr>
          <w:rFonts w:cstheme="minorHAnsi"/>
          <w:sz w:val="24"/>
          <w:szCs w:val="24"/>
        </w:rPr>
      </w:pPr>
      <w:r w:rsidRPr="00373881">
        <w:rPr>
          <w:rFonts w:cstheme="minorHAnsi"/>
          <w:sz w:val="24"/>
          <w:szCs w:val="24"/>
        </w:rPr>
        <w:t xml:space="preserve">No. Institutions are free to promote their ranking successes. </w:t>
      </w:r>
      <w:r w:rsidRPr="00373881">
        <w:rPr>
          <w:rFonts w:cstheme="minorHAnsi"/>
          <w:b/>
          <w:bCs/>
          <w:sz w:val="24"/>
          <w:szCs w:val="24"/>
        </w:rPr>
        <w:t xml:space="preserve">More Than Our Rank </w:t>
      </w:r>
      <w:r w:rsidRPr="00373881">
        <w:rPr>
          <w:rFonts w:cstheme="minorHAnsi"/>
          <w:sz w:val="24"/>
          <w:szCs w:val="24"/>
        </w:rPr>
        <w:t>just highlights how much more institutions have to offer, whether they do well in the rankings or not</w:t>
      </w:r>
      <w:r w:rsidR="00373881">
        <w:rPr>
          <w:rFonts w:cstheme="minorHAnsi"/>
          <w:sz w:val="24"/>
          <w:szCs w:val="24"/>
        </w:rPr>
        <w:t>.</w:t>
      </w:r>
    </w:p>
    <w:p w14:paraId="6A4FA4D1" w14:textId="77777777" w:rsidR="00373881" w:rsidRPr="00373881" w:rsidRDefault="00373881" w:rsidP="00373881">
      <w:pPr>
        <w:pStyle w:val="ListParagraph"/>
        <w:spacing w:line="240" w:lineRule="auto"/>
        <w:jc w:val="both"/>
        <w:rPr>
          <w:rFonts w:cstheme="minorHAnsi"/>
          <w:sz w:val="24"/>
          <w:szCs w:val="24"/>
        </w:rPr>
      </w:pPr>
    </w:p>
    <w:p w14:paraId="6B7C4FAB" w14:textId="78A67CD0" w:rsidR="0030477B" w:rsidRPr="00373881" w:rsidRDefault="568DAB65" w:rsidP="00A65CF9">
      <w:pPr>
        <w:pStyle w:val="Heading2"/>
        <w:numPr>
          <w:ilvl w:val="0"/>
          <w:numId w:val="15"/>
        </w:numPr>
        <w:ind w:left="360"/>
        <w:rPr>
          <w:rFonts w:asciiTheme="minorHAnsi" w:hAnsiTheme="minorHAnsi" w:cstheme="minorHAnsi"/>
          <w:b/>
          <w:bCs/>
          <w:color w:val="833C0B" w:themeColor="accent2" w:themeShade="80"/>
        </w:rPr>
      </w:pPr>
      <w:r w:rsidRPr="00373881">
        <w:rPr>
          <w:rFonts w:asciiTheme="minorHAnsi" w:hAnsiTheme="minorHAnsi" w:cstheme="minorHAnsi"/>
          <w:b/>
          <w:bCs/>
          <w:color w:val="833C0B" w:themeColor="accent2" w:themeShade="80"/>
        </w:rPr>
        <w:t>Isn’t this just for those who have a “poor” or no ranking?</w:t>
      </w:r>
    </w:p>
    <w:p w14:paraId="5D185083" w14:textId="61827F3C" w:rsidR="568DAB65" w:rsidRPr="00A65CF9" w:rsidRDefault="568DAB65" w:rsidP="00A65CF9">
      <w:pPr>
        <w:pStyle w:val="ListParagraph"/>
        <w:numPr>
          <w:ilvl w:val="0"/>
          <w:numId w:val="15"/>
        </w:numPr>
        <w:spacing w:line="240" w:lineRule="auto"/>
        <w:jc w:val="both"/>
        <w:rPr>
          <w:rFonts w:cstheme="minorHAnsi"/>
          <w:b/>
          <w:bCs/>
          <w:sz w:val="24"/>
          <w:szCs w:val="24"/>
        </w:rPr>
      </w:pPr>
      <w:r w:rsidRPr="00A65CF9">
        <w:rPr>
          <w:rFonts w:cstheme="minorHAnsi"/>
          <w:sz w:val="24"/>
          <w:szCs w:val="24"/>
        </w:rPr>
        <w:t xml:space="preserve">No. </w:t>
      </w:r>
      <w:r w:rsidRPr="00A65CF9">
        <w:rPr>
          <w:rFonts w:cstheme="minorHAnsi"/>
          <w:b/>
          <w:bCs/>
          <w:sz w:val="24"/>
          <w:szCs w:val="24"/>
        </w:rPr>
        <w:t xml:space="preserve">More Than Our Rank </w:t>
      </w:r>
      <w:r w:rsidRPr="00A65CF9">
        <w:rPr>
          <w:rFonts w:cstheme="minorHAnsi"/>
          <w:sz w:val="24"/>
          <w:szCs w:val="24"/>
        </w:rPr>
        <w:t xml:space="preserve">is for all institutions and </w:t>
      </w:r>
      <w:r w:rsidR="004010B4" w:rsidRPr="00A65CF9">
        <w:rPr>
          <w:rFonts w:cstheme="minorHAnsi"/>
          <w:sz w:val="24"/>
          <w:szCs w:val="24"/>
        </w:rPr>
        <w:t>highly ranked</w:t>
      </w:r>
      <w:r w:rsidRPr="00A65CF9">
        <w:rPr>
          <w:rFonts w:cstheme="minorHAnsi"/>
          <w:sz w:val="24"/>
          <w:szCs w:val="24"/>
        </w:rPr>
        <w:t xml:space="preserve">, mid-ranked and yet-to-rank organisations are signing up. </w:t>
      </w:r>
    </w:p>
    <w:p w14:paraId="7116746A" w14:textId="4E4F4E4C" w:rsidR="161F9265" w:rsidRPr="00A65CF9" w:rsidRDefault="161F9265" w:rsidP="00A65CF9">
      <w:pPr>
        <w:spacing w:line="240" w:lineRule="auto"/>
        <w:jc w:val="both"/>
        <w:rPr>
          <w:rFonts w:cstheme="minorHAnsi"/>
          <w:sz w:val="24"/>
          <w:szCs w:val="24"/>
        </w:rPr>
      </w:pPr>
    </w:p>
    <w:p w14:paraId="7BD8E113" w14:textId="7D254938" w:rsidR="00F817FA" w:rsidRPr="00373881" w:rsidRDefault="568DAB65" w:rsidP="00A65CF9">
      <w:pPr>
        <w:pStyle w:val="Heading2"/>
        <w:numPr>
          <w:ilvl w:val="0"/>
          <w:numId w:val="15"/>
        </w:numPr>
        <w:ind w:left="360"/>
        <w:rPr>
          <w:rFonts w:asciiTheme="minorHAnsi" w:hAnsiTheme="minorHAnsi" w:cstheme="minorHAnsi"/>
          <w:b/>
          <w:bCs/>
          <w:color w:val="833C0B" w:themeColor="accent2" w:themeShade="80"/>
        </w:rPr>
      </w:pPr>
      <w:r w:rsidRPr="00373881">
        <w:rPr>
          <w:rFonts w:asciiTheme="minorHAnsi" w:hAnsiTheme="minorHAnsi" w:cstheme="minorHAnsi"/>
          <w:b/>
          <w:bCs/>
          <w:color w:val="833C0B" w:themeColor="accent2" w:themeShade="80"/>
        </w:rPr>
        <w:t>Will there be pushback from ranking organisations?</w:t>
      </w:r>
    </w:p>
    <w:p w14:paraId="238FD7EA" w14:textId="71208CCA" w:rsidR="568DAB65" w:rsidRPr="00A65CF9" w:rsidRDefault="568DAB65" w:rsidP="00A65CF9">
      <w:pPr>
        <w:pStyle w:val="ListParagraph"/>
        <w:numPr>
          <w:ilvl w:val="0"/>
          <w:numId w:val="15"/>
        </w:numPr>
        <w:spacing w:line="240" w:lineRule="auto"/>
        <w:jc w:val="both"/>
        <w:rPr>
          <w:rFonts w:cstheme="minorHAnsi"/>
          <w:sz w:val="24"/>
          <w:szCs w:val="24"/>
          <w:lang w:val="en-US"/>
        </w:rPr>
      </w:pPr>
      <w:r w:rsidRPr="00A65CF9">
        <w:rPr>
          <w:rFonts w:cstheme="minorHAnsi"/>
          <w:sz w:val="24"/>
          <w:szCs w:val="24"/>
        </w:rPr>
        <w:t xml:space="preserve">Most ranking agencies </w:t>
      </w:r>
      <w:r w:rsidR="00051720" w:rsidRPr="00A65CF9">
        <w:rPr>
          <w:rFonts w:cstheme="minorHAnsi"/>
          <w:sz w:val="24"/>
          <w:szCs w:val="24"/>
        </w:rPr>
        <w:t>are open about</w:t>
      </w:r>
      <w:r w:rsidRPr="00A65CF9">
        <w:rPr>
          <w:rFonts w:cstheme="minorHAnsi"/>
          <w:sz w:val="24"/>
          <w:szCs w:val="24"/>
        </w:rPr>
        <w:t xml:space="preserve"> the limited dimensions of university activity that they represent and how their rankings only provide one view of an institution. Indeed, some provide links out to institutional websites to provide context for their ranking scores. Two ranking agencies, CWTS Leiden and UMultirank, are </w:t>
      </w:r>
      <w:r w:rsidR="004010B4" w:rsidRPr="00A65CF9">
        <w:rPr>
          <w:rFonts w:cstheme="minorHAnsi"/>
          <w:sz w:val="24"/>
          <w:szCs w:val="24"/>
        </w:rPr>
        <w:t>official</w:t>
      </w:r>
      <w:r w:rsidRPr="00A65CF9">
        <w:rPr>
          <w:rFonts w:cstheme="minorHAnsi"/>
          <w:sz w:val="24"/>
          <w:szCs w:val="24"/>
        </w:rPr>
        <w:t xml:space="preserve"> supporters of </w:t>
      </w:r>
      <w:r w:rsidRPr="00A65CF9">
        <w:rPr>
          <w:rFonts w:cstheme="minorHAnsi"/>
          <w:b/>
          <w:bCs/>
          <w:sz w:val="24"/>
          <w:szCs w:val="24"/>
        </w:rPr>
        <w:t xml:space="preserve">More Than Our Rank </w:t>
      </w:r>
      <w:r w:rsidRPr="00A65CF9">
        <w:rPr>
          <w:rFonts w:cstheme="minorHAnsi"/>
          <w:sz w:val="24"/>
          <w:szCs w:val="24"/>
        </w:rPr>
        <w:t xml:space="preserve">as they see no conflict of ambition. </w:t>
      </w:r>
    </w:p>
    <w:p w14:paraId="60E34A4D" w14:textId="0EFDA23D" w:rsidR="161F9265" w:rsidRPr="00A65CF9" w:rsidRDefault="161F9265" w:rsidP="00A65CF9">
      <w:pPr>
        <w:spacing w:line="240" w:lineRule="auto"/>
        <w:jc w:val="both"/>
        <w:rPr>
          <w:rFonts w:cstheme="minorHAnsi"/>
          <w:sz w:val="24"/>
          <w:szCs w:val="24"/>
        </w:rPr>
      </w:pPr>
    </w:p>
    <w:p w14:paraId="7B26AF75" w14:textId="77777777" w:rsidR="006C7624" w:rsidRPr="00373881" w:rsidRDefault="006C7624" w:rsidP="00A65CF9">
      <w:pPr>
        <w:pStyle w:val="Heading2"/>
        <w:numPr>
          <w:ilvl w:val="0"/>
          <w:numId w:val="15"/>
        </w:numPr>
        <w:ind w:left="360"/>
        <w:rPr>
          <w:rFonts w:asciiTheme="minorHAnsi" w:hAnsiTheme="minorHAnsi" w:cstheme="minorHAnsi"/>
          <w:b/>
          <w:bCs/>
          <w:color w:val="833C0B" w:themeColor="accent2" w:themeShade="80"/>
          <w:lang w:val="en-US"/>
        </w:rPr>
      </w:pPr>
      <w:r w:rsidRPr="00373881">
        <w:rPr>
          <w:rFonts w:asciiTheme="minorHAnsi" w:hAnsiTheme="minorHAnsi" w:cstheme="minorHAnsi"/>
          <w:b/>
          <w:bCs/>
          <w:color w:val="833C0B" w:themeColor="accent2" w:themeShade="80"/>
          <w:lang w:val="en-US"/>
        </w:rPr>
        <w:t>What if we want to change our statement?</w:t>
      </w:r>
    </w:p>
    <w:p w14:paraId="5FB3B16E" w14:textId="7CDA97C9" w:rsidR="006C7624" w:rsidRPr="00A65CF9" w:rsidRDefault="006C7624" w:rsidP="00A65CF9">
      <w:pPr>
        <w:pStyle w:val="ListParagraph"/>
        <w:numPr>
          <w:ilvl w:val="0"/>
          <w:numId w:val="15"/>
        </w:numPr>
        <w:spacing w:line="240" w:lineRule="auto"/>
        <w:rPr>
          <w:rFonts w:cstheme="minorHAnsi"/>
          <w:b/>
          <w:bCs/>
          <w:sz w:val="24"/>
          <w:szCs w:val="24"/>
          <w:lang w:val="en-US"/>
        </w:rPr>
      </w:pPr>
      <w:r w:rsidRPr="00A65CF9">
        <w:rPr>
          <w:rFonts w:cstheme="minorHAnsi"/>
          <w:sz w:val="24"/>
          <w:szCs w:val="24"/>
          <w:lang w:val="en-US"/>
        </w:rPr>
        <w:t xml:space="preserve">That’s absolutely fine. Universities are dynamic organisations and so </w:t>
      </w:r>
      <w:r w:rsidR="71F4B14A" w:rsidRPr="00A65CF9">
        <w:rPr>
          <w:rFonts w:cstheme="minorHAnsi"/>
          <w:sz w:val="24"/>
          <w:szCs w:val="24"/>
          <w:lang w:val="en-US"/>
        </w:rPr>
        <w:t>their</w:t>
      </w:r>
      <w:r w:rsidRPr="00A65CF9">
        <w:rPr>
          <w:rFonts w:cstheme="minorHAnsi"/>
          <w:sz w:val="24"/>
          <w:szCs w:val="24"/>
          <w:lang w:val="en-US"/>
        </w:rPr>
        <w:t xml:space="preserve"> </w:t>
      </w:r>
      <w:r w:rsidRPr="00A65CF9">
        <w:rPr>
          <w:rFonts w:cstheme="minorHAnsi"/>
          <w:b/>
          <w:bCs/>
          <w:sz w:val="24"/>
          <w:szCs w:val="24"/>
          <w:lang w:val="en-US"/>
        </w:rPr>
        <w:t xml:space="preserve">More Than Our Rank </w:t>
      </w:r>
      <w:r w:rsidRPr="00A65CF9">
        <w:rPr>
          <w:rFonts w:cstheme="minorHAnsi"/>
          <w:sz w:val="24"/>
          <w:szCs w:val="24"/>
          <w:lang w:val="en-US"/>
        </w:rPr>
        <w:t>statements can be updated with new ambitions, activities</w:t>
      </w:r>
      <w:r w:rsidR="00373881">
        <w:rPr>
          <w:rFonts w:cstheme="minorHAnsi"/>
          <w:sz w:val="24"/>
          <w:szCs w:val="24"/>
          <w:lang w:val="en-US"/>
        </w:rPr>
        <w:t>,</w:t>
      </w:r>
      <w:r w:rsidRPr="00A65CF9">
        <w:rPr>
          <w:rFonts w:cstheme="minorHAnsi"/>
          <w:sz w:val="24"/>
          <w:szCs w:val="24"/>
          <w:lang w:val="en-US"/>
        </w:rPr>
        <w:t xml:space="preserve"> and achievements at any time.</w:t>
      </w:r>
    </w:p>
    <w:p w14:paraId="04D60A1F" w14:textId="68FDE77D" w:rsidR="568DAB65" w:rsidRDefault="568DAB65" w:rsidP="00373881">
      <w:pPr>
        <w:spacing w:line="240" w:lineRule="auto"/>
        <w:jc w:val="right"/>
      </w:pPr>
    </w:p>
    <w:p w14:paraId="6FA68EC8" w14:textId="7E2D19D0" w:rsidR="00373881" w:rsidRDefault="00373881" w:rsidP="00373881">
      <w:pPr>
        <w:spacing w:line="240" w:lineRule="auto"/>
        <w:jc w:val="right"/>
      </w:pPr>
      <w:r>
        <w:t>INORMS Research Evaluation Group</w:t>
      </w:r>
    </w:p>
    <w:p w14:paraId="23442D83" w14:textId="3EA9FE56" w:rsidR="00373881" w:rsidRDefault="00373881" w:rsidP="00373881">
      <w:pPr>
        <w:spacing w:line="240" w:lineRule="auto"/>
        <w:jc w:val="right"/>
      </w:pPr>
      <w:r>
        <w:t>February 2023</w:t>
      </w:r>
    </w:p>
    <w:p w14:paraId="0916C0EE" w14:textId="35294A4E" w:rsidR="7F8A475E" w:rsidRDefault="7F8A475E" w:rsidP="71CD1B4C">
      <w:pPr>
        <w:spacing w:line="240" w:lineRule="auto"/>
        <w:jc w:val="both"/>
      </w:pPr>
    </w:p>
    <w:p w14:paraId="51E7EAF7" w14:textId="0744159F" w:rsidR="004E7EFC" w:rsidRPr="0030477B" w:rsidRDefault="004E7EFC" w:rsidP="004010B4">
      <w:pPr>
        <w:spacing w:line="240" w:lineRule="auto"/>
        <w:jc w:val="both"/>
        <w:rPr>
          <w:rStyle w:val="normaltextrun"/>
        </w:rPr>
      </w:pPr>
      <w:r>
        <w:rPr>
          <w:rStyle w:val="normaltextrun"/>
        </w:rPr>
        <w:t xml:space="preserve"> </w:t>
      </w:r>
    </w:p>
    <w:sectPr w:rsidR="004E7EFC" w:rsidRPr="0030477B" w:rsidSect="00373881">
      <w:footerReference w:type="default" r:id="rId20"/>
      <w:pgSz w:w="11906" w:h="16838"/>
      <w:pgMar w:top="1440" w:right="1701" w:bottom="1440" w:left="174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71036" w14:textId="77777777" w:rsidR="00EA3AF9" w:rsidRDefault="00EA3AF9" w:rsidP="00CC7FB3">
      <w:pPr>
        <w:spacing w:after="0" w:line="240" w:lineRule="auto"/>
      </w:pPr>
      <w:r>
        <w:separator/>
      </w:r>
    </w:p>
  </w:endnote>
  <w:endnote w:type="continuationSeparator" w:id="0">
    <w:p w14:paraId="7E813D11" w14:textId="77777777" w:rsidR="00EA3AF9" w:rsidRDefault="00EA3AF9" w:rsidP="00CC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16B5" w14:textId="6AC7C78F" w:rsidR="00373881" w:rsidRPr="00373881" w:rsidRDefault="00373881" w:rsidP="00373881">
    <w:pPr>
      <w:pStyle w:val="Footer"/>
      <w:jc w:val="center"/>
      <w:rPr>
        <w:color w:val="833C0B" w:themeColor="accent2" w:themeShade="80"/>
      </w:rPr>
    </w:pPr>
    <w:r w:rsidRPr="00373881">
      <w:rPr>
        <w:color w:val="833C0B" w:themeColor="accent2" w:themeShade="80"/>
      </w:rPr>
      <w:t>INORMS Research Evaluation Group https://inorms.net/more-than-our-rank/</w:t>
    </w:r>
  </w:p>
  <w:p w14:paraId="41FEC6A8" w14:textId="77777777" w:rsidR="00CC7FB3" w:rsidRDefault="00CC7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3C9F3" w14:textId="77777777" w:rsidR="00EA3AF9" w:rsidRDefault="00EA3AF9" w:rsidP="00CC7FB3">
      <w:pPr>
        <w:spacing w:after="0" w:line="240" w:lineRule="auto"/>
      </w:pPr>
      <w:r>
        <w:separator/>
      </w:r>
    </w:p>
  </w:footnote>
  <w:footnote w:type="continuationSeparator" w:id="0">
    <w:p w14:paraId="42F519E9" w14:textId="77777777" w:rsidR="00EA3AF9" w:rsidRDefault="00EA3AF9" w:rsidP="00CC7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260"/>
    <w:multiLevelType w:val="hybridMultilevel"/>
    <w:tmpl w:val="A51A640C"/>
    <w:lvl w:ilvl="0" w:tplc="A43C41EE">
      <w:start w:val="1"/>
      <w:numFmt w:val="bullet"/>
      <w:lvlText w:val=""/>
      <w:lvlJc w:val="left"/>
      <w:pPr>
        <w:ind w:left="720" w:hanging="360"/>
      </w:pPr>
      <w:rPr>
        <w:rFonts w:ascii="Symbol" w:hAnsi="Symbol" w:hint="default"/>
      </w:rPr>
    </w:lvl>
    <w:lvl w:ilvl="1" w:tplc="AA620270">
      <w:start w:val="1"/>
      <w:numFmt w:val="bullet"/>
      <w:lvlText w:val="o"/>
      <w:lvlJc w:val="left"/>
      <w:pPr>
        <w:ind w:left="1440" w:hanging="360"/>
      </w:pPr>
      <w:rPr>
        <w:rFonts w:ascii="Courier New" w:hAnsi="Courier New" w:hint="default"/>
      </w:rPr>
    </w:lvl>
    <w:lvl w:ilvl="2" w:tplc="CEC4F424">
      <w:start w:val="1"/>
      <w:numFmt w:val="bullet"/>
      <w:lvlText w:val=""/>
      <w:lvlJc w:val="left"/>
      <w:pPr>
        <w:ind w:left="2160" w:hanging="360"/>
      </w:pPr>
      <w:rPr>
        <w:rFonts w:ascii="Wingdings" w:hAnsi="Wingdings" w:hint="default"/>
      </w:rPr>
    </w:lvl>
    <w:lvl w:ilvl="3" w:tplc="CA0472E0">
      <w:start w:val="1"/>
      <w:numFmt w:val="bullet"/>
      <w:lvlText w:val=""/>
      <w:lvlJc w:val="left"/>
      <w:pPr>
        <w:ind w:left="2880" w:hanging="360"/>
      </w:pPr>
      <w:rPr>
        <w:rFonts w:ascii="Symbol" w:hAnsi="Symbol" w:hint="default"/>
      </w:rPr>
    </w:lvl>
    <w:lvl w:ilvl="4" w:tplc="5FFCA484">
      <w:start w:val="1"/>
      <w:numFmt w:val="bullet"/>
      <w:lvlText w:val="o"/>
      <w:lvlJc w:val="left"/>
      <w:pPr>
        <w:ind w:left="3600" w:hanging="360"/>
      </w:pPr>
      <w:rPr>
        <w:rFonts w:ascii="Courier New" w:hAnsi="Courier New" w:hint="default"/>
      </w:rPr>
    </w:lvl>
    <w:lvl w:ilvl="5" w:tplc="046E28D0">
      <w:start w:val="1"/>
      <w:numFmt w:val="bullet"/>
      <w:lvlText w:val=""/>
      <w:lvlJc w:val="left"/>
      <w:pPr>
        <w:ind w:left="4320" w:hanging="360"/>
      </w:pPr>
      <w:rPr>
        <w:rFonts w:ascii="Wingdings" w:hAnsi="Wingdings" w:hint="default"/>
      </w:rPr>
    </w:lvl>
    <w:lvl w:ilvl="6" w:tplc="04DCEAF4">
      <w:start w:val="1"/>
      <w:numFmt w:val="bullet"/>
      <w:lvlText w:val=""/>
      <w:lvlJc w:val="left"/>
      <w:pPr>
        <w:ind w:left="5040" w:hanging="360"/>
      </w:pPr>
      <w:rPr>
        <w:rFonts w:ascii="Symbol" w:hAnsi="Symbol" w:hint="default"/>
      </w:rPr>
    </w:lvl>
    <w:lvl w:ilvl="7" w:tplc="1542E920">
      <w:start w:val="1"/>
      <w:numFmt w:val="bullet"/>
      <w:lvlText w:val="o"/>
      <w:lvlJc w:val="left"/>
      <w:pPr>
        <w:ind w:left="5760" w:hanging="360"/>
      </w:pPr>
      <w:rPr>
        <w:rFonts w:ascii="Courier New" w:hAnsi="Courier New" w:hint="default"/>
      </w:rPr>
    </w:lvl>
    <w:lvl w:ilvl="8" w:tplc="080E6996">
      <w:start w:val="1"/>
      <w:numFmt w:val="bullet"/>
      <w:lvlText w:val=""/>
      <w:lvlJc w:val="left"/>
      <w:pPr>
        <w:ind w:left="6480" w:hanging="360"/>
      </w:pPr>
      <w:rPr>
        <w:rFonts w:ascii="Wingdings" w:hAnsi="Wingdings" w:hint="default"/>
      </w:rPr>
    </w:lvl>
  </w:abstractNum>
  <w:abstractNum w:abstractNumId="1" w15:restartNumberingAfterBreak="0">
    <w:nsid w:val="0137A6CE"/>
    <w:multiLevelType w:val="hybridMultilevel"/>
    <w:tmpl w:val="7D5C9844"/>
    <w:lvl w:ilvl="0" w:tplc="F7B231E2">
      <w:start w:val="1"/>
      <w:numFmt w:val="decimal"/>
      <w:lvlText w:val="%1)"/>
      <w:lvlJc w:val="left"/>
      <w:pPr>
        <w:ind w:left="720" w:hanging="360"/>
      </w:pPr>
    </w:lvl>
    <w:lvl w:ilvl="1" w:tplc="26B8BF8E">
      <w:start w:val="1"/>
      <w:numFmt w:val="lowerLetter"/>
      <w:lvlText w:val="%2."/>
      <w:lvlJc w:val="left"/>
      <w:pPr>
        <w:ind w:left="1440" w:hanging="360"/>
      </w:pPr>
    </w:lvl>
    <w:lvl w:ilvl="2" w:tplc="43E05A88">
      <w:start w:val="1"/>
      <w:numFmt w:val="lowerRoman"/>
      <w:lvlText w:val="%3."/>
      <w:lvlJc w:val="right"/>
      <w:pPr>
        <w:ind w:left="2160" w:hanging="180"/>
      </w:pPr>
    </w:lvl>
    <w:lvl w:ilvl="3" w:tplc="AB56B01A">
      <w:start w:val="1"/>
      <w:numFmt w:val="decimal"/>
      <w:lvlText w:val="%4."/>
      <w:lvlJc w:val="left"/>
      <w:pPr>
        <w:ind w:left="2880" w:hanging="360"/>
      </w:pPr>
    </w:lvl>
    <w:lvl w:ilvl="4" w:tplc="58AE7894">
      <w:start w:val="1"/>
      <w:numFmt w:val="lowerLetter"/>
      <w:lvlText w:val="%5."/>
      <w:lvlJc w:val="left"/>
      <w:pPr>
        <w:ind w:left="3600" w:hanging="360"/>
      </w:pPr>
    </w:lvl>
    <w:lvl w:ilvl="5" w:tplc="64CC640E">
      <w:start w:val="1"/>
      <w:numFmt w:val="lowerRoman"/>
      <w:lvlText w:val="%6."/>
      <w:lvlJc w:val="right"/>
      <w:pPr>
        <w:ind w:left="4320" w:hanging="180"/>
      </w:pPr>
    </w:lvl>
    <w:lvl w:ilvl="6" w:tplc="D5524900">
      <w:start w:val="1"/>
      <w:numFmt w:val="decimal"/>
      <w:lvlText w:val="%7."/>
      <w:lvlJc w:val="left"/>
      <w:pPr>
        <w:ind w:left="5040" w:hanging="360"/>
      </w:pPr>
    </w:lvl>
    <w:lvl w:ilvl="7" w:tplc="F926CE52">
      <w:start w:val="1"/>
      <w:numFmt w:val="lowerLetter"/>
      <w:lvlText w:val="%8."/>
      <w:lvlJc w:val="left"/>
      <w:pPr>
        <w:ind w:left="5760" w:hanging="360"/>
      </w:pPr>
    </w:lvl>
    <w:lvl w:ilvl="8" w:tplc="B276D2A0">
      <w:start w:val="1"/>
      <w:numFmt w:val="lowerRoman"/>
      <w:lvlText w:val="%9."/>
      <w:lvlJc w:val="right"/>
      <w:pPr>
        <w:ind w:left="6480" w:hanging="180"/>
      </w:pPr>
    </w:lvl>
  </w:abstractNum>
  <w:abstractNum w:abstractNumId="2" w15:restartNumberingAfterBreak="0">
    <w:nsid w:val="02821491"/>
    <w:multiLevelType w:val="hybridMultilevel"/>
    <w:tmpl w:val="E8F6C7C4"/>
    <w:lvl w:ilvl="0" w:tplc="48007D68">
      <w:start w:val="1"/>
      <w:numFmt w:val="bullet"/>
      <w:lvlText w:val=""/>
      <w:lvlJc w:val="left"/>
      <w:pPr>
        <w:ind w:left="720" w:hanging="360"/>
      </w:pPr>
      <w:rPr>
        <w:rFonts w:ascii="Symbol" w:hAnsi="Symbol" w:hint="default"/>
      </w:rPr>
    </w:lvl>
    <w:lvl w:ilvl="1" w:tplc="702A71E0">
      <w:start w:val="1"/>
      <w:numFmt w:val="bullet"/>
      <w:lvlText w:val="o"/>
      <w:lvlJc w:val="left"/>
      <w:pPr>
        <w:ind w:left="1440" w:hanging="360"/>
      </w:pPr>
      <w:rPr>
        <w:rFonts w:ascii="Courier New" w:hAnsi="Courier New" w:hint="default"/>
      </w:rPr>
    </w:lvl>
    <w:lvl w:ilvl="2" w:tplc="25B87E4A">
      <w:start w:val="1"/>
      <w:numFmt w:val="bullet"/>
      <w:lvlText w:val=""/>
      <w:lvlJc w:val="left"/>
      <w:pPr>
        <w:ind w:left="2160" w:hanging="360"/>
      </w:pPr>
      <w:rPr>
        <w:rFonts w:ascii="Wingdings" w:hAnsi="Wingdings" w:hint="default"/>
      </w:rPr>
    </w:lvl>
    <w:lvl w:ilvl="3" w:tplc="5BDEDD76">
      <w:start w:val="1"/>
      <w:numFmt w:val="bullet"/>
      <w:lvlText w:val=""/>
      <w:lvlJc w:val="left"/>
      <w:pPr>
        <w:ind w:left="2880" w:hanging="360"/>
      </w:pPr>
      <w:rPr>
        <w:rFonts w:ascii="Symbol" w:hAnsi="Symbol" w:hint="default"/>
      </w:rPr>
    </w:lvl>
    <w:lvl w:ilvl="4" w:tplc="87AC754A">
      <w:start w:val="1"/>
      <w:numFmt w:val="bullet"/>
      <w:lvlText w:val="o"/>
      <w:lvlJc w:val="left"/>
      <w:pPr>
        <w:ind w:left="3600" w:hanging="360"/>
      </w:pPr>
      <w:rPr>
        <w:rFonts w:ascii="Courier New" w:hAnsi="Courier New" w:hint="default"/>
      </w:rPr>
    </w:lvl>
    <w:lvl w:ilvl="5" w:tplc="2F30A0E4">
      <w:start w:val="1"/>
      <w:numFmt w:val="bullet"/>
      <w:lvlText w:val=""/>
      <w:lvlJc w:val="left"/>
      <w:pPr>
        <w:ind w:left="4320" w:hanging="360"/>
      </w:pPr>
      <w:rPr>
        <w:rFonts w:ascii="Wingdings" w:hAnsi="Wingdings" w:hint="default"/>
      </w:rPr>
    </w:lvl>
    <w:lvl w:ilvl="6" w:tplc="D0D04A40">
      <w:start w:val="1"/>
      <w:numFmt w:val="bullet"/>
      <w:lvlText w:val=""/>
      <w:lvlJc w:val="left"/>
      <w:pPr>
        <w:ind w:left="5040" w:hanging="360"/>
      </w:pPr>
      <w:rPr>
        <w:rFonts w:ascii="Symbol" w:hAnsi="Symbol" w:hint="default"/>
      </w:rPr>
    </w:lvl>
    <w:lvl w:ilvl="7" w:tplc="0ADE4296">
      <w:start w:val="1"/>
      <w:numFmt w:val="bullet"/>
      <w:lvlText w:val="o"/>
      <w:lvlJc w:val="left"/>
      <w:pPr>
        <w:ind w:left="5760" w:hanging="360"/>
      </w:pPr>
      <w:rPr>
        <w:rFonts w:ascii="Courier New" w:hAnsi="Courier New" w:hint="default"/>
      </w:rPr>
    </w:lvl>
    <w:lvl w:ilvl="8" w:tplc="FD402A0C">
      <w:start w:val="1"/>
      <w:numFmt w:val="bullet"/>
      <w:lvlText w:val=""/>
      <w:lvlJc w:val="left"/>
      <w:pPr>
        <w:ind w:left="6480" w:hanging="360"/>
      </w:pPr>
      <w:rPr>
        <w:rFonts w:ascii="Wingdings" w:hAnsi="Wingdings" w:hint="default"/>
      </w:rPr>
    </w:lvl>
  </w:abstractNum>
  <w:abstractNum w:abstractNumId="3" w15:restartNumberingAfterBreak="0">
    <w:nsid w:val="1B64EC5D"/>
    <w:multiLevelType w:val="hybridMultilevel"/>
    <w:tmpl w:val="4BD80652"/>
    <w:lvl w:ilvl="0" w:tplc="F236AB94">
      <w:start w:val="1"/>
      <w:numFmt w:val="bullet"/>
      <w:lvlText w:val="-"/>
      <w:lvlJc w:val="left"/>
      <w:pPr>
        <w:ind w:left="720" w:hanging="360"/>
      </w:pPr>
      <w:rPr>
        <w:rFonts w:ascii="Calibri" w:hAnsi="Calibri" w:hint="default"/>
      </w:rPr>
    </w:lvl>
    <w:lvl w:ilvl="1" w:tplc="E6C81866">
      <w:start w:val="1"/>
      <w:numFmt w:val="bullet"/>
      <w:lvlText w:val="o"/>
      <w:lvlJc w:val="left"/>
      <w:pPr>
        <w:ind w:left="1440" w:hanging="360"/>
      </w:pPr>
      <w:rPr>
        <w:rFonts w:ascii="Courier New" w:hAnsi="Courier New" w:hint="default"/>
      </w:rPr>
    </w:lvl>
    <w:lvl w:ilvl="2" w:tplc="4DF42382">
      <w:start w:val="1"/>
      <w:numFmt w:val="bullet"/>
      <w:lvlText w:val=""/>
      <w:lvlJc w:val="left"/>
      <w:pPr>
        <w:ind w:left="2160" w:hanging="360"/>
      </w:pPr>
      <w:rPr>
        <w:rFonts w:ascii="Wingdings" w:hAnsi="Wingdings" w:hint="default"/>
      </w:rPr>
    </w:lvl>
    <w:lvl w:ilvl="3" w:tplc="AE7650AA">
      <w:start w:val="1"/>
      <w:numFmt w:val="bullet"/>
      <w:lvlText w:val=""/>
      <w:lvlJc w:val="left"/>
      <w:pPr>
        <w:ind w:left="2880" w:hanging="360"/>
      </w:pPr>
      <w:rPr>
        <w:rFonts w:ascii="Symbol" w:hAnsi="Symbol" w:hint="default"/>
      </w:rPr>
    </w:lvl>
    <w:lvl w:ilvl="4" w:tplc="0484A608">
      <w:start w:val="1"/>
      <w:numFmt w:val="bullet"/>
      <w:lvlText w:val="o"/>
      <w:lvlJc w:val="left"/>
      <w:pPr>
        <w:ind w:left="3600" w:hanging="360"/>
      </w:pPr>
      <w:rPr>
        <w:rFonts w:ascii="Courier New" w:hAnsi="Courier New" w:hint="default"/>
      </w:rPr>
    </w:lvl>
    <w:lvl w:ilvl="5" w:tplc="FBCC4EF0">
      <w:start w:val="1"/>
      <w:numFmt w:val="bullet"/>
      <w:lvlText w:val=""/>
      <w:lvlJc w:val="left"/>
      <w:pPr>
        <w:ind w:left="4320" w:hanging="360"/>
      </w:pPr>
      <w:rPr>
        <w:rFonts w:ascii="Wingdings" w:hAnsi="Wingdings" w:hint="default"/>
      </w:rPr>
    </w:lvl>
    <w:lvl w:ilvl="6" w:tplc="B096E512">
      <w:start w:val="1"/>
      <w:numFmt w:val="bullet"/>
      <w:lvlText w:val=""/>
      <w:lvlJc w:val="left"/>
      <w:pPr>
        <w:ind w:left="5040" w:hanging="360"/>
      </w:pPr>
      <w:rPr>
        <w:rFonts w:ascii="Symbol" w:hAnsi="Symbol" w:hint="default"/>
      </w:rPr>
    </w:lvl>
    <w:lvl w:ilvl="7" w:tplc="A002E546">
      <w:start w:val="1"/>
      <w:numFmt w:val="bullet"/>
      <w:lvlText w:val="o"/>
      <w:lvlJc w:val="left"/>
      <w:pPr>
        <w:ind w:left="5760" w:hanging="360"/>
      </w:pPr>
      <w:rPr>
        <w:rFonts w:ascii="Courier New" w:hAnsi="Courier New" w:hint="default"/>
      </w:rPr>
    </w:lvl>
    <w:lvl w:ilvl="8" w:tplc="55AE621C">
      <w:start w:val="1"/>
      <w:numFmt w:val="bullet"/>
      <w:lvlText w:val=""/>
      <w:lvlJc w:val="left"/>
      <w:pPr>
        <w:ind w:left="6480" w:hanging="360"/>
      </w:pPr>
      <w:rPr>
        <w:rFonts w:ascii="Wingdings" w:hAnsi="Wingdings" w:hint="default"/>
      </w:rPr>
    </w:lvl>
  </w:abstractNum>
  <w:abstractNum w:abstractNumId="4" w15:restartNumberingAfterBreak="0">
    <w:nsid w:val="1F8DFCA0"/>
    <w:multiLevelType w:val="hybridMultilevel"/>
    <w:tmpl w:val="548ABB8E"/>
    <w:lvl w:ilvl="0" w:tplc="FFFFFFFF">
      <w:start w:val="1"/>
      <w:numFmt w:val="decimal"/>
      <w:lvlText w:val="%1."/>
      <w:lvlJc w:val="left"/>
      <w:pPr>
        <w:ind w:left="360" w:hanging="360"/>
      </w:pPr>
    </w:lvl>
    <w:lvl w:ilvl="1" w:tplc="50986E82">
      <w:start w:val="1"/>
      <w:numFmt w:val="lowerLetter"/>
      <w:lvlText w:val="%2."/>
      <w:lvlJc w:val="left"/>
      <w:pPr>
        <w:ind w:left="1080" w:hanging="360"/>
      </w:pPr>
    </w:lvl>
    <w:lvl w:ilvl="2" w:tplc="F83CD4E8">
      <w:start w:val="1"/>
      <w:numFmt w:val="lowerRoman"/>
      <w:lvlText w:val="%3."/>
      <w:lvlJc w:val="right"/>
      <w:pPr>
        <w:ind w:left="1800" w:hanging="180"/>
      </w:pPr>
    </w:lvl>
    <w:lvl w:ilvl="3" w:tplc="7AE8A52A">
      <w:start w:val="1"/>
      <w:numFmt w:val="decimal"/>
      <w:lvlText w:val="%4."/>
      <w:lvlJc w:val="left"/>
      <w:pPr>
        <w:ind w:left="2520" w:hanging="360"/>
      </w:pPr>
    </w:lvl>
    <w:lvl w:ilvl="4" w:tplc="BD40DD52">
      <w:start w:val="1"/>
      <w:numFmt w:val="lowerLetter"/>
      <w:lvlText w:val="%5."/>
      <w:lvlJc w:val="left"/>
      <w:pPr>
        <w:ind w:left="3240" w:hanging="360"/>
      </w:pPr>
    </w:lvl>
    <w:lvl w:ilvl="5" w:tplc="47E2068C">
      <w:start w:val="1"/>
      <w:numFmt w:val="lowerRoman"/>
      <w:lvlText w:val="%6."/>
      <w:lvlJc w:val="right"/>
      <w:pPr>
        <w:ind w:left="3960" w:hanging="180"/>
      </w:pPr>
    </w:lvl>
    <w:lvl w:ilvl="6" w:tplc="6C5217F0">
      <w:start w:val="1"/>
      <w:numFmt w:val="decimal"/>
      <w:lvlText w:val="%7."/>
      <w:lvlJc w:val="left"/>
      <w:pPr>
        <w:ind w:left="4680" w:hanging="360"/>
      </w:pPr>
    </w:lvl>
    <w:lvl w:ilvl="7" w:tplc="BF26C12E">
      <w:start w:val="1"/>
      <w:numFmt w:val="lowerLetter"/>
      <w:lvlText w:val="%8."/>
      <w:lvlJc w:val="left"/>
      <w:pPr>
        <w:ind w:left="5400" w:hanging="360"/>
      </w:pPr>
    </w:lvl>
    <w:lvl w:ilvl="8" w:tplc="85881A18">
      <w:start w:val="1"/>
      <w:numFmt w:val="lowerRoman"/>
      <w:lvlText w:val="%9."/>
      <w:lvlJc w:val="right"/>
      <w:pPr>
        <w:ind w:left="6120" w:hanging="180"/>
      </w:pPr>
    </w:lvl>
  </w:abstractNum>
  <w:abstractNum w:abstractNumId="5" w15:restartNumberingAfterBreak="0">
    <w:nsid w:val="27F10DF5"/>
    <w:multiLevelType w:val="hybridMultilevel"/>
    <w:tmpl w:val="7C148FF6"/>
    <w:lvl w:ilvl="0" w:tplc="B5FAC00E">
      <w:start w:val="33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869D7"/>
    <w:multiLevelType w:val="hybridMultilevel"/>
    <w:tmpl w:val="45E49904"/>
    <w:lvl w:ilvl="0" w:tplc="5EC4E9AE">
      <w:start w:val="2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4EB9D8"/>
    <w:multiLevelType w:val="hybridMultilevel"/>
    <w:tmpl w:val="0F80E1CC"/>
    <w:lvl w:ilvl="0" w:tplc="CF348294">
      <w:start w:val="1"/>
      <w:numFmt w:val="decimal"/>
      <w:lvlText w:val="%1."/>
      <w:lvlJc w:val="left"/>
      <w:pPr>
        <w:ind w:left="360" w:hanging="360"/>
      </w:pPr>
    </w:lvl>
    <w:lvl w:ilvl="1" w:tplc="EFDE9906">
      <w:start w:val="1"/>
      <w:numFmt w:val="lowerLetter"/>
      <w:lvlText w:val="%2."/>
      <w:lvlJc w:val="left"/>
      <w:pPr>
        <w:ind w:left="1080" w:hanging="360"/>
      </w:pPr>
    </w:lvl>
    <w:lvl w:ilvl="2" w:tplc="242C2082">
      <w:start w:val="1"/>
      <w:numFmt w:val="lowerRoman"/>
      <w:lvlText w:val="%3."/>
      <w:lvlJc w:val="right"/>
      <w:pPr>
        <w:ind w:left="1800" w:hanging="180"/>
      </w:pPr>
    </w:lvl>
    <w:lvl w:ilvl="3" w:tplc="9BDA855A">
      <w:start w:val="1"/>
      <w:numFmt w:val="decimal"/>
      <w:lvlText w:val="%4."/>
      <w:lvlJc w:val="left"/>
      <w:pPr>
        <w:ind w:left="2520" w:hanging="360"/>
      </w:pPr>
    </w:lvl>
    <w:lvl w:ilvl="4" w:tplc="71820036">
      <w:start w:val="1"/>
      <w:numFmt w:val="lowerLetter"/>
      <w:lvlText w:val="%5."/>
      <w:lvlJc w:val="left"/>
      <w:pPr>
        <w:ind w:left="3240" w:hanging="360"/>
      </w:pPr>
    </w:lvl>
    <w:lvl w:ilvl="5" w:tplc="859A0762">
      <w:start w:val="1"/>
      <w:numFmt w:val="lowerRoman"/>
      <w:lvlText w:val="%6."/>
      <w:lvlJc w:val="right"/>
      <w:pPr>
        <w:ind w:left="3960" w:hanging="180"/>
      </w:pPr>
    </w:lvl>
    <w:lvl w:ilvl="6" w:tplc="A120E492">
      <w:start w:val="1"/>
      <w:numFmt w:val="decimal"/>
      <w:lvlText w:val="%7."/>
      <w:lvlJc w:val="left"/>
      <w:pPr>
        <w:ind w:left="4680" w:hanging="360"/>
      </w:pPr>
    </w:lvl>
    <w:lvl w:ilvl="7" w:tplc="794605C8">
      <w:start w:val="1"/>
      <w:numFmt w:val="lowerLetter"/>
      <w:lvlText w:val="%8."/>
      <w:lvlJc w:val="left"/>
      <w:pPr>
        <w:ind w:left="5400" w:hanging="360"/>
      </w:pPr>
    </w:lvl>
    <w:lvl w:ilvl="8" w:tplc="24C8801E">
      <w:start w:val="1"/>
      <w:numFmt w:val="lowerRoman"/>
      <w:lvlText w:val="%9."/>
      <w:lvlJc w:val="right"/>
      <w:pPr>
        <w:ind w:left="6120" w:hanging="180"/>
      </w:pPr>
    </w:lvl>
  </w:abstractNum>
  <w:abstractNum w:abstractNumId="8" w15:restartNumberingAfterBreak="0">
    <w:nsid w:val="62DC0D67"/>
    <w:multiLevelType w:val="hybridMultilevel"/>
    <w:tmpl w:val="34DADCA4"/>
    <w:lvl w:ilvl="0" w:tplc="039E3A9A">
      <w:start w:val="1"/>
      <w:numFmt w:val="lowerLetter"/>
      <w:lvlText w:val="%1)"/>
      <w:lvlJc w:val="left"/>
      <w:pPr>
        <w:ind w:left="720" w:hanging="360"/>
      </w:pPr>
    </w:lvl>
    <w:lvl w:ilvl="1" w:tplc="83ACDAEA">
      <w:start w:val="1"/>
      <w:numFmt w:val="lowerLetter"/>
      <w:lvlText w:val="%2."/>
      <w:lvlJc w:val="left"/>
      <w:pPr>
        <w:ind w:left="1440" w:hanging="360"/>
      </w:pPr>
    </w:lvl>
    <w:lvl w:ilvl="2" w:tplc="EA402428">
      <w:start w:val="1"/>
      <w:numFmt w:val="lowerRoman"/>
      <w:lvlText w:val="%3."/>
      <w:lvlJc w:val="right"/>
      <w:pPr>
        <w:ind w:left="2160" w:hanging="180"/>
      </w:pPr>
    </w:lvl>
    <w:lvl w:ilvl="3" w:tplc="62CE1622">
      <w:start w:val="1"/>
      <w:numFmt w:val="decimal"/>
      <w:lvlText w:val="%4."/>
      <w:lvlJc w:val="left"/>
      <w:pPr>
        <w:ind w:left="2880" w:hanging="360"/>
      </w:pPr>
    </w:lvl>
    <w:lvl w:ilvl="4" w:tplc="82B25DA0">
      <w:start w:val="1"/>
      <w:numFmt w:val="lowerLetter"/>
      <w:lvlText w:val="%5."/>
      <w:lvlJc w:val="left"/>
      <w:pPr>
        <w:ind w:left="3600" w:hanging="360"/>
      </w:pPr>
    </w:lvl>
    <w:lvl w:ilvl="5" w:tplc="3800D044">
      <w:start w:val="1"/>
      <w:numFmt w:val="lowerRoman"/>
      <w:lvlText w:val="%6."/>
      <w:lvlJc w:val="right"/>
      <w:pPr>
        <w:ind w:left="4320" w:hanging="180"/>
      </w:pPr>
    </w:lvl>
    <w:lvl w:ilvl="6" w:tplc="7D36F104">
      <w:start w:val="1"/>
      <w:numFmt w:val="decimal"/>
      <w:lvlText w:val="%7."/>
      <w:lvlJc w:val="left"/>
      <w:pPr>
        <w:ind w:left="5040" w:hanging="360"/>
      </w:pPr>
    </w:lvl>
    <w:lvl w:ilvl="7" w:tplc="AB6A77CE">
      <w:start w:val="1"/>
      <w:numFmt w:val="lowerLetter"/>
      <w:lvlText w:val="%8."/>
      <w:lvlJc w:val="left"/>
      <w:pPr>
        <w:ind w:left="5760" w:hanging="360"/>
      </w:pPr>
    </w:lvl>
    <w:lvl w:ilvl="8" w:tplc="742A08A8">
      <w:start w:val="1"/>
      <w:numFmt w:val="lowerRoman"/>
      <w:lvlText w:val="%9."/>
      <w:lvlJc w:val="right"/>
      <w:pPr>
        <w:ind w:left="6480" w:hanging="180"/>
      </w:pPr>
    </w:lvl>
  </w:abstractNum>
  <w:abstractNum w:abstractNumId="9" w15:restartNumberingAfterBreak="0">
    <w:nsid w:val="63F4C2EA"/>
    <w:multiLevelType w:val="hybridMultilevel"/>
    <w:tmpl w:val="FD4CD84A"/>
    <w:lvl w:ilvl="0" w:tplc="28D6E7F2">
      <w:start w:val="1"/>
      <w:numFmt w:val="bullet"/>
      <w:lvlText w:val=""/>
      <w:lvlJc w:val="left"/>
      <w:pPr>
        <w:ind w:left="720" w:hanging="360"/>
      </w:pPr>
      <w:rPr>
        <w:rFonts w:ascii="Symbol" w:hAnsi="Symbol" w:hint="default"/>
      </w:rPr>
    </w:lvl>
    <w:lvl w:ilvl="1" w:tplc="BB4CF9F6">
      <w:start w:val="1"/>
      <w:numFmt w:val="bullet"/>
      <w:lvlText w:val="o"/>
      <w:lvlJc w:val="left"/>
      <w:pPr>
        <w:ind w:left="1440" w:hanging="360"/>
      </w:pPr>
      <w:rPr>
        <w:rFonts w:ascii="Courier New" w:hAnsi="Courier New" w:hint="default"/>
      </w:rPr>
    </w:lvl>
    <w:lvl w:ilvl="2" w:tplc="EC145878">
      <w:start w:val="1"/>
      <w:numFmt w:val="bullet"/>
      <w:lvlText w:val=""/>
      <w:lvlJc w:val="left"/>
      <w:pPr>
        <w:ind w:left="2160" w:hanging="360"/>
      </w:pPr>
      <w:rPr>
        <w:rFonts w:ascii="Wingdings" w:hAnsi="Wingdings" w:hint="default"/>
      </w:rPr>
    </w:lvl>
    <w:lvl w:ilvl="3" w:tplc="4E6E211E">
      <w:start w:val="1"/>
      <w:numFmt w:val="bullet"/>
      <w:lvlText w:val=""/>
      <w:lvlJc w:val="left"/>
      <w:pPr>
        <w:ind w:left="2880" w:hanging="360"/>
      </w:pPr>
      <w:rPr>
        <w:rFonts w:ascii="Symbol" w:hAnsi="Symbol" w:hint="default"/>
      </w:rPr>
    </w:lvl>
    <w:lvl w:ilvl="4" w:tplc="D228DE54">
      <w:start w:val="1"/>
      <w:numFmt w:val="bullet"/>
      <w:lvlText w:val="o"/>
      <w:lvlJc w:val="left"/>
      <w:pPr>
        <w:ind w:left="3600" w:hanging="360"/>
      </w:pPr>
      <w:rPr>
        <w:rFonts w:ascii="Courier New" w:hAnsi="Courier New" w:hint="default"/>
      </w:rPr>
    </w:lvl>
    <w:lvl w:ilvl="5" w:tplc="C05AE796">
      <w:start w:val="1"/>
      <w:numFmt w:val="bullet"/>
      <w:lvlText w:val=""/>
      <w:lvlJc w:val="left"/>
      <w:pPr>
        <w:ind w:left="4320" w:hanging="360"/>
      </w:pPr>
      <w:rPr>
        <w:rFonts w:ascii="Wingdings" w:hAnsi="Wingdings" w:hint="default"/>
      </w:rPr>
    </w:lvl>
    <w:lvl w:ilvl="6" w:tplc="282C8002">
      <w:start w:val="1"/>
      <w:numFmt w:val="bullet"/>
      <w:lvlText w:val=""/>
      <w:lvlJc w:val="left"/>
      <w:pPr>
        <w:ind w:left="5040" w:hanging="360"/>
      </w:pPr>
      <w:rPr>
        <w:rFonts w:ascii="Symbol" w:hAnsi="Symbol" w:hint="default"/>
      </w:rPr>
    </w:lvl>
    <w:lvl w:ilvl="7" w:tplc="3B42E17E">
      <w:start w:val="1"/>
      <w:numFmt w:val="bullet"/>
      <w:lvlText w:val="o"/>
      <w:lvlJc w:val="left"/>
      <w:pPr>
        <w:ind w:left="5760" w:hanging="360"/>
      </w:pPr>
      <w:rPr>
        <w:rFonts w:ascii="Courier New" w:hAnsi="Courier New" w:hint="default"/>
      </w:rPr>
    </w:lvl>
    <w:lvl w:ilvl="8" w:tplc="18C0C6CA">
      <w:start w:val="1"/>
      <w:numFmt w:val="bullet"/>
      <w:lvlText w:val=""/>
      <w:lvlJc w:val="left"/>
      <w:pPr>
        <w:ind w:left="6480" w:hanging="360"/>
      </w:pPr>
      <w:rPr>
        <w:rFonts w:ascii="Wingdings" w:hAnsi="Wingdings" w:hint="default"/>
      </w:rPr>
    </w:lvl>
  </w:abstractNum>
  <w:abstractNum w:abstractNumId="10" w15:restartNumberingAfterBreak="0">
    <w:nsid w:val="652B7779"/>
    <w:multiLevelType w:val="hybridMultilevel"/>
    <w:tmpl w:val="C7E2B36A"/>
    <w:lvl w:ilvl="0" w:tplc="3F8C6D04">
      <w:start w:val="33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F02E4"/>
    <w:multiLevelType w:val="hybridMultilevel"/>
    <w:tmpl w:val="116CA904"/>
    <w:lvl w:ilvl="0" w:tplc="A400FD38">
      <w:start w:val="1"/>
      <w:numFmt w:val="bullet"/>
      <w:lvlText w:val=""/>
      <w:lvlJc w:val="left"/>
      <w:pPr>
        <w:ind w:left="720" w:hanging="360"/>
      </w:pPr>
      <w:rPr>
        <w:rFonts w:ascii="Symbol" w:hAnsi="Symbol" w:hint="default"/>
      </w:rPr>
    </w:lvl>
    <w:lvl w:ilvl="1" w:tplc="EE0C0A68">
      <w:start w:val="1"/>
      <w:numFmt w:val="bullet"/>
      <w:lvlText w:val="o"/>
      <w:lvlJc w:val="left"/>
      <w:pPr>
        <w:ind w:left="1440" w:hanging="360"/>
      </w:pPr>
      <w:rPr>
        <w:rFonts w:ascii="Courier New" w:hAnsi="Courier New" w:hint="default"/>
      </w:rPr>
    </w:lvl>
    <w:lvl w:ilvl="2" w:tplc="776499FA">
      <w:start w:val="1"/>
      <w:numFmt w:val="bullet"/>
      <w:lvlText w:val=""/>
      <w:lvlJc w:val="left"/>
      <w:pPr>
        <w:ind w:left="2160" w:hanging="360"/>
      </w:pPr>
      <w:rPr>
        <w:rFonts w:ascii="Wingdings" w:hAnsi="Wingdings" w:hint="default"/>
      </w:rPr>
    </w:lvl>
    <w:lvl w:ilvl="3" w:tplc="94586440">
      <w:start w:val="1"/>
      <w:numFmt w:val="bullet"/>
      <w:lvlText w:val=""/>
      <w:lvlJc w:val="left"/>
      <w:pPr>
        <w:ind w:left="2880" w:hanging="360"/>
      </w:pPr>
      <w:rPr>
        <w:rFonts w:ascii="Symbol" w:hAnsi="Symbol" w:hint="default"/>
      </w:rPr>
    </w:lvl>
    <w:lvl w:ilvl="4" w:tplc="5EFC7520">
      <w:start w:val="1"/>
      <w:numFmt w:val="bullet"/>
      <w:lvlText w:val="o"/>
      <w:lvlJc w:val="left"/>
      <w:pPr>
        <w:ind w:left="3600" w:hanging="360"/>
      </w:pPr>
      <w:rPr>
        <w:rFonts w:ascii="Courier New" w:hAnsi="Courier New" w:hint="default"/>
      </w:rPr>
    </w:lvl>
    <w:lvl w:ilvl="5" w:tplc="C116FCB2">
      <w:start w:val="1"/>
      <w:numFmt w:val="bullet"/>
      <w:lvlText w:val=""/>
      <w:lvlJc w:val="left"/>
      <w:pPr>
        <w:ind w:left="4320" w:hanging="360"/>
      </w:pPr>
      <w:rPr>
        <w:rFonts w:ascii="Wingdings" w:hAnsi="Wingdings" w:hint="default"/>
      </w:rPr>
    </w:lvl>
    <w:lvl w:ilvl="6" w:tplc="FDA6559C">
      <w:start w:val="1"/>
      <w:numFmt w:val="bullet"/>
      <w:lvlText w:val=""/>
      <w:lvlJc w:val="left"/>
      <w:pPr>
        <w:ind w:left="5040" w:hanging="360"/>
      </w:pPr>
      <w:rPr>
        <w:rFonts w:ascii="Symbol" w:hAnsi="Symbol" w:hint="default"/>
      </w:rPr>
    </w:lvl>
    <w:lvl w:ilvl="7" w:tplc="C050344C">
      <w:start w:val="1"/>
      <w:numFmt w:val="bullet"/>
      <w:lvlText w:val="o"/>
      <w:lvlJc w:val="left"/>
      <w:pPr>
        <w:ind w:left="5760" w:hanging="360"/>
      </w:pPr>
      <w:rPr>
        <w:rFonts w:ascii="Courier New" w:hAnsi="Courier New" w:hint="default"/>
      </w:rPr>
    </w:lvl>
    <w:lvl w:ilvl="8" w:tplc="93467134">
      <w:start w:val="1"/>
      <w:numFmt w:val="bullet"/>
      <w:lvlText w:val=""/>
      <w:lvlJc w:val="left"/>
      <w:pPr>
        <w:ind w:left="6480" w:hanging="360"/>
      </w:pPr>
      <w:rPr>
        <w:rFonts w:ascii="Wingdings" w:hAnsi="Wingdings" w:hint="default"/>
      </w:rPr>
    </w:lvl>
  </w:abstractNum>
  <w:abstractNum w:abstractNumId="12" w15:restartNumberingAfterBreak="0">
    <w:nsid w:val="6D076C76"/>
    <w:multiLevelType w:val="hybridMultilevel"/>
    <w:tmpl w:val="16D44990"/>
    <w:lvl w:ilvl="0" w:tplc="8C04F292">
      <w:start w:val="1"/>
      <w:numFmt w:val="decimal"/>
      <w:lvlText w:val="%1."/>
      <w:lvlJc w:val="left"/>
      <w:pPr>
        <w:ind w:left="720" w:hanging="360"/>
      </w:pPr>
    </w:lvl>
    <w:lvl w:ilvl="1" w:tplc="684A6150">
      <w:start w:val="1"/>
      <w:numFmt w:val="lowerLetter"/>
      <w:lvlText w:val="%2."/>
      <w:lvlJc w:val="left"/>
      <w:pPr>
        <w:ind w:left="1440" w:hanging="360"/>
      </w:pPr>
    </w:lvl>
    <w:lvl w:ilvl="2" w:tplc="CC9E50BA">
      <w:start w:val="1"/>
      <w:numFmt w:val="lowerRoman"/>
      <w:lvlText w:val="%3."/>
      <w:lvlJc w:val="right"/>
      <w:pPr>
        <w:ind w:left="2160" w:hanging="180"/>
      </w:pPr>
    </w:lvl>
    <w:lvl w:ilvl="3" w:tplc="4AA63A34">
      <w:start w:val="1"/>
      <w:numFmt w:val="decimal"/>
      <w:lvlText w:val="%4."/>
      <w:lvlJc w:val="left"/>
      <w:pPr>
        <w:ind w:left="2880" w:hanging="360"/>
      </w:pPr>
    </w:lvl>
    <w:lvl w:ilvl="4" w:tplc="55E0E3FA">
      <w:start w:val="1"/>
      <w:numFmt w:val="lowerLetter"/>
      <w:lvlText w:val="%5."/>
      <w:lvlJc w:val="left"/>
      <w:pPr>
        <w:ind w:left="3600" w:hanging="360"/>
      </w:pPr>
    </w:lvl>
    <w:lvl w:ilvl="5" w:tplc="A2C2888C">
      <w:start w:val="1"/>
      <w:numFmt w:val="lowerRoman"/>
      <w:lvlText w:val="%6."/>
      <w:lvlJc w:val="right"/>
      <w:pPr>
        <w:ind w:left="4320" w:hanging="180"/>
      </w:pPr>
    </w:lvl>
    <w:lvl w:ilvl="6" w:tplc="F1F273F6">
      <w:start w:val="1"/>
      <w:numFmt w:val="decimal"/>
      <w:lvlText w:val="%7."/>
      <w:lvlJc w:val="left"/>
      <w:pPr>
        <w:ind w:left="5040" w:hanging="360"/>
      </w:pPr>
    </w:lvl>
    <w:lvl w:ilvl="7" w:tplc="368E580E">
      <w:start w:val="1"/>
      <w:numFmt w:val="lowerLetter"/>
      <w:lvlText w:val="%8."/>
      <w:lvlJc w:val="left"/>
      <w:pPr>
        <w:ind w:left="5760" w:hanging="360"/>
      </w:pPr>
    </w:lvl>
    <w:lvl w:ilvl="8" w:tplc="7CBCBC72">
      <w:start w:val="1"/>
      <w:numFmt w:val="lowerRoman"/>
      <w:lvlText w:val="%9."/>
      <w:lvlJc w:val="right"/>
      <w:pPr>
        <w:ind w:left="6480" w:hanging="180"/>
      </w:pPr>
    </w:lvl>
  </w:abstractNum>
  <w:abstractNum w:abstractNumId="13" w15:restartNumberingAfterBreak="0">
    <w:nsid w:val="752A1803"/>
    <w:multiLevelType w:val="hybridMultilevel"/>
    <w:tmpl w:val="A7A2736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75D358"/>
    <w:multiLevelType w:val="hybridMultilevel"/>
    <w:tmpl w:val="D67290C2"/>
    <w:lvl w:ilvl="0" w:tplc="C88ADF06">
      <w:start w:val="1"/>
      <w:numFmt w:val="bullet"/>
      <w:lvlText w:val=""/>
      <w:lvlJc w:val="left"/>
      <w:pPr>
        <w:ind w:left="720" w:hanging="360"/>
      </w:pPr>
      <w:rPr>
        <w:rFonts w:ascii="Symbol" w:hAnsi="Symbol" w:hint="default"/>
      </w:rPr>
    </w:lvl>
    <w:lvl w:ilvl="1" w:tplc="9B30F610">
      <w:start w:val="1"/>
      <w:numFmt w:val="bullet"/>
      <w:lvlText w:val="o"/>
      <w:lvlJc w:val="left"/>
      <w:pPr>
        <w:ind w:left="1440" w:hanging="360"/>
      </w:pPr>
      <w:rPr>
        <w:rFonts w:ascii="Courier New" w:hAnsi="Courier New" w:hint="default"/>
      </w:rPr>
    </w:lvl>
    <w:lvl w:ilvl="2" w:tplc="65306F5C">
      <w:start w:val="1"/>
      <w:numFmt w:val="bullet"/>
      <w:lvlText w:val=""/>
      <w:lvlJc w:val="left"/>
      <w:pPr>
        <w:ind w:left="2160" w:hanging="360"/>
      </w:pPr>
      <w:rPr>
        <w:rFonts w:ascii="Wingdings" w:hAnsi="Wingdings" w:hint="default"/>
      </w:rPr>
    </w:lvl>
    <w:lvl w:ilvl="3" w:tplc="83E6929C">
      <w:start w:val="1"/>
      <w:numFmt w:val="bullet"/>
      <w:lvlText w:val=""/>
      <w:lvlJc w:val="left"/>
      <w:pPr>
        <w:ind w:left="2880" w:hanging="360"/>
      </w:pPr>
      <w:rPr>
        <w:rFonts w:ascii="Symbol" w:hAnsi="Symbol" w:hint="default"/>
      </w:rPr>
    </w:lvl>
    <w:lvl w:ilvl="4" w:tplc="D5FE2896">
      <w:start w:val="1"/>
      <w:numFmt w:val="bullet"/>
      <w:lvlText w:val="o"/>
      <w:lvlJc w:val="left"/>
      <w:pPr>
        <w:ind w:left="3600" w:hanging="360"/>
      </w:pPr>
      <w:rPr>
        <w:rFonts w:ascii="Courier New" w:hAnsi="Courier New" w:hint="default"/>
      </w:rPr>
    </w:lvl>
    <w:lvl w:ilvl="5" w:tplc="8D0EF974">
      <w:start w:val="1"/>
      <w:numFmt w:val="bullet"/>
      <w:lvlText w:val=""/>
      <w:lvlJc w:val="left"/>
      <w:pPr>
        <w:ind w:left="4320" w:hanging="360"/>
      </w:pPr>
      <w:rPr>
        <w:rFonts w:ascii="Wingdings" w:hAnsi="Wingdings" w:hint="default"/>
      </w:rPr>
    </w:lvl>
    <w:lvl w:ilvl="6" w:tplc="99969A06">
      <w:start w:val="1"/>
      <w:numFmt w:val="bullet"/>
      <w:lvlText w:val=""/>
      <w:lvlJc w:val="left"/>
      <w:pPr>
        <w:ind w:left="5040" w:hanging="360"/>
      </w:pPr>
      <w:rPr>
        <w:rFonts w:ascii="Symbol" w:hAnsi="Symbol" w:hint="default"/>
      </w:rPr>
    </w:lvl>
    <w:lvl w:ilvl="7" w:tplc="691CB2BA">
      <w:start w:val="1"/>
      <w:numFmt w:val="bullet"/>
      <w:lvlText w:val="o"/>
      <w:lvlJc w:val="left"/>
      <w:pPr>
        <w:ind w:left="5760" w:hanging="360"/>
      </w:pPr>
      <w:rPr>
        <w:rFonts w:ascii="Courier New" w:hAnsi="Courier New" w:hint="default"/>
      </w:rPr>
    </w:lvl>
    <w:lvl w:ilvl="8" w:tplc="F7309130">
      <w:start w:val="1"/>
      <w:numFmt w:val="bullet"/>
      <w:lvlText w:val=""/>
      <w:lvlJc w:val="left"/>
      <w:pPr>
        <w:ind w:left="6480" w:hanging="360"/>
      </w:pPr>
      <w:rPr>
        <w:rFonts w:ascii="Wingdings" w:hAnsi="Wingdings" w:hint="default"/>
      </w:rPr>
    </w:lvl>
  </w:abstractNum>
  <w:num w:numId="1" w16cid:durableId="1014183712">
    <w:abstractNumId w:val="14"/>
  </w:num>
  <w:num w:numId="2" w16cid:durableId="15620759">
    <w:abstractNumId w:val="11"/>
  </w:num>
  <w:num w:numId="3" w16cid:durableId="788469549">
    <w:abstractNumId w:val="0"/>
  </w:num>
  <w:num w:numId="4" w16cid:durableId="603071276">
    <w:abstractNumId w:val="9"/>
  </w:num>
  <w:num w:numId="5" w16cid:durableId="324209476">
    <w:abstractNumId w:val="2"/>
  </w:num>
  <w:num w:numId="6" w16cid:durableId="279265987">
    <w:abstractNumId w:val="8"/>
  </w:num>
  <w:num w:numId="7" w16cid:durableId="192351183">
    <w:abstractNumId w:val="12"/>
  </w:num>
  <w:num w:numId="8" w16cid:durableId="211505611">
    <w:abstractNumId w:val="7"/>
  </w:num>
  <w:num w:numId="9" w16cid:durableId="1507282851">
    <w:abstractNumId w:val="4"/>
  </w:num>
  <w:num w:numId="10" w16cid:durableId="1544832305">
    <w:abstractNumId w:val="1"/>
  </w:num>
  <w:num w:numId="11" w16cid:durableId="567613029">
    <w:abstractNumId w:val="3"/>
  </w:num>
  <w:num w:numId="12" w16cid:durableId="1667975753">
    <w:abstractNumId w:val="10"/>
  </w:num>
  <w:num w:numId="13" w16cid:durableId="1774205157">
    <w:abstractNumId w:val="5"/>
  </w:num>
  <w:num w:numId="14" w16cid:durableId="42945231">
    <w:abstractNumId w:val="6"/>
  </w:num>
  <w:num w:numId="15" w16cid:durableId="6805475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40"/>
    <w:rsid w:val="00051720"/>
    <w:rsid w:val="000B6E12"/>
    <w:rsid w:val="00137C40"/>
    <w:rsid w:val="00216769"/>
    <w:rsid w:val="002955D5"/>
    <w:rsid w:val="0030477B"/>
    <w:rsid w:val="00373881"/>
    <w:rsid w:val="003822C4"/>
    <w:rsid w:val="00391E82"/>
    <w:rsid w:val="003D59C6"/>
    <w:rsid w:val="004010B4"/>
    <w:rsid w:val="0044061D"/>
    <w:rsid w:val="004A088F"/>
    <w:rsid w:val="004D445D"/>
    <w:rsid w:val="004E7EFC"/>
    <w:rsid w:val="00501E6A"/>
    <w:rsid w:val="005924E5"/>
    <w:rsid w:val="006016B7"/>
    <w:rsid w:val="00663A9C"/>
    <w:rsid w:val="00671BB4"/>
    <w:rsid w:val="006C7624"/>
    <w:rsid w:val="007754A6"/>
    <w:rsid w:val="008176C2"/>
    <w:rsid w:val="008367B6"/>
    <w:rsid w:val="00873F36"/>
    <w:rsid w:val="008766CD"/>
    <w:rsid w:val="008C1B0A"/>
    <w:rsid w:val="008C75F3"/>
    <w:rsid w:val="00960CD8"/>
    <w:rsid w:val="00A16735"/>
    <w:rsid w:val="00A516CB"/>
    <w:rsid w:val="00A65CF9"/>
    <w:rsid w:val="00CC7FB3"/>
    <w:rsid w:val="00DD7E25"/>
    <w:rsid w:val="00DF162B"/>
    <w:rsid w:val="00EA3AF9"/>
    <w:rsid w:val="00F26FB7"/>
    <w:rsid w:val="00F71F75"/>
    <w:rsid w:val="00F76D11"/>
    <w:rsid w:val="00F7715D"/>
    <w:rsid w:val="00F817FA"/>
    <w:rsid w:val="02C9950C"/>
    <w:rsid w:val="03A71AAB"/>
    <w:rsid w:val="03B8DD05"/>
    <w:rsid w:val="055FE322"/>
    <w:rsid w:val="05D51AF6"/>
    <w:rsid w:val="082F2788"/>
    <w:rsid w:val="0A8086DA"/>
    <w:rsid w:val="0BFFE898"/>
    <w:rsid w:val="0ECD0345"/>
    <w:rsid w:val="108ABEE5"/>
    <w:rsid w:val="11C7524D"/>
    <w:rsid w:val="11C79B6E"/>
    <w:rsid w:val="14A4A85D"/>
    <w:rsid w:val="14E30807"/>
    <w:rsid w:val="154CA0D2"/>
    <w:rsid w:val="161F9265"/>
    <w:rsid w:val="16E3AADB"/>
    <w:rsid w:val="17F9896D"/>
    <w:rsid w:val="187F7B3C"/>
    <w:rsid w:val="1940E3D8"/>
    <w:rsid w:val="1C7E2DFB"/>
    <w:rsid w:val="1C9D8776"/>
    <w:rsid w:val="1D741576"/>
    <w:rsid w:val="1E3957D7"/>
    <w:rsid w:val="1EFF8157"/>
    <w:rsid w:val="1FD52838"/>
    <w:rsid w:val="22265707"/>
    <w:rsid w:val="2291EAE4"/>
    <w:rsid w:val="22E273E1"/>
    <w:rsid w:val="233A4FEF"/>
    <w:rsid w:val="23445B70"/>
    <w:rsid w:val="2434928E"/>
    <w:rsid w:val="257B466B"/>
    <w:rsid w:val="25E96DBC"/>
    <w:rsid w:val="2716C040"/>
    <w:rsid w:val="271716CC"/>
    <w:rsid w:val="28E35493"/>
    <w:rsid w:val="291C0771"/>
    <w:rsid w:val="29B36B1E"/>
    <w:rsid w:val="2A7C2A58"/>
    <w:rsid w:val="2ADCA1BE"/>
    <w:rsid w:val="2B4F3B7F"/>
    <w:rsid w:val="2C0EDCB8"/>
    <w:rsid w:val="2C3569C3"/>
    <w:rsid w:val="2DAAAD19"/>
    <w:rsid w:val="2F467D7A"/>
    <w:rsid w:val="300911E7"/>
    <w:rsid w:val="311E91B9"/>
    <w:rsid w:val="31384C4C"/>
    <w:rsid w:val="31B0642E"/>
    <w:rsid w:val="3454CB24"/>
    <w:rsid w:val="34D071C0"/>
    <w:rsid w:val="35FE063A"/>
    <w:rsid w:val="38756176"/>
    <w:rsid w:val="3A4D8B05"/>
    <w:rsid w:val="3AA2FA8E"/>
    <w:rsid w:val="3B890BB1"/>
    <w:rsid w:val="3BCA6E06"/>
    <w:rsid w:val="3DF145A9"/>
    <w:rsid w:val="3E60C8AB"/>
    <w:rsid w:val="3ECC3334"/>
    <w:rsid w:val="3F2711A4"/>
    <w:rsid w:val="3F648ECA"/>
    <w:rsid w:val="4028EAE2"/>
    <w:rsid w:val="40680395"/>
    <w:rsid w:val="4203D3F6"/>
    <w:rsid w:val="43181459"/>
    <w:rsid w:val="43D02DAE"/>
    <w:rsid w:val="43F135B9"/>
    <w:rsid w:val="4579B87A"/>
    <w:rsid w:val="484E665C"/>
    <w:rsid w:val="4A1E8F46"/>
    <w:rsid w:val="4A875B79"/>
    <w:rsid w:val="4DC164B3"/>
    <w:rsid w:val="4ED9C0ED"/>
    <w:rsid w:val="4EE36D3B"/>
    <w:rsid w:val="4F56790F"/>
    <w:rsid w:val="5373371B"/>
    <w:rsid w:val="53A61649"/>
    <w:rsid w:val="53CBA4AC"/>
    <w:rsid w:val="53F3913B"/>
    <w:rsid w:val="53FAF71D"/>
    <w:rsid w:val="54C2DAAF"/>
    <w:rsid w:val="55B26443"/>
    <w:rsid w:val="55DAE450"/>
    <w:rsid w:val="567BD919"/>
    <w:rsid w:val="568DAB65"/>
    <w:rsid w:val="57E18344"/>
    <w:rsid w:val="5839AD1B"/>
    <w:rsid w:val="586C77AC"/>
    <w:rsid w:val="5C30FD77"/>
    <w:rsid w:val="5F45294C"/>
    <w:rsid w:val="5FB98457"/>
    <w:rsid w:val="6058FB48"/>
    <w:rsid w:val="60DD7CAE"/>
    <w:rsid w:val="610D1F8A"/>
    <w:rsid w:val="62FF52EA"/>
    <w:rsid w:val="643C0F5C"/>
    <w:rsid w:val="67FE848F"/>
    <w:rsid w:val="6891AE0C"/>
    <w:rsid w:val="6A7041B7"/>
    <w:rsid w:val="6B5BFF3E"/>
    <w:rsid w:val="6CC496D7"/>
    <w:rsid w:val="6E732F9E"/>
    <w:rsid w:val="6F99ACFF"/>
    <w:rsid w:val="708236CE"/>
    <w:rsid w:val="71CD1B4C"/>
    <w:rsid w:val="71F4B14A"/>
    <w:rsid w:val="721E072F"/>
    <w:rsid w:val="735950C7"/>
    <w:rsid w:val="75F1CCC5"/>
    <w:rsid w:val="77D78975"/>
    <w:rsid w:val="78759CE7"/>
    <w:rsid w:val="788F10AB"/>
    <w:rsid w:val="79721560"/>
    <w:rsid w:val="7A441262"/>
    <w:rsid w:val="7B9C0F40"/>
    <w:rsid w:val="7BD0A093"/>
    <w:rsid w:val="7CE730C9"/>
    <w:rsid w:val="7F8A4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B6A0D"/>
  <w15:chartTrackingRefBased/>
  <w15:docId w15:val="{965EFA9C-E1E4-4979-8EBA-61A90058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91E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766CD"/>
  </w:style>
  <w:style w:type="character" w:styleId="CommentReference">
    <w:name w:val="annotation reference"/>
    <w:basedOn w:val="DefaultParagraphFont"/>
    <w:uiPriority w:val="99"/>
    <w:semiHidden/>
    <w:unhideWhenUsed/>
    <w:rsid w:val="000B6E12"/>
    <w:rPr>
      <w:sz w:val="16"/>
      <w:szCs w:val="16"/>
    </w:rPr>
  </w:style>
  <w:style w:type="paragraph" w:styleId="CommentText">
    <w:name w:val="annotation text"/>
    <w:basedOn w:val="Normal"/>
    <w:link w:val="CommentTextChar"/>
    <w:uiPriority w:val="99"/>
    <w:unhideWhenUsed/>
    <w:rsid w:val="000B6E12"/>
    <w:pPr>
      <w:spacing w:line="240" w:lineRule="auto"/>
    </w:pPr>
    <w:rPr>
      <w:sz w:val="20"/>
      <w:szCs w:val="20"/>
    </w:rPr>
  </w:style>
  <w:style w:type="character" w:customStyle="1" w:styleId="CommentTextChar">
    <w:name w:val="Comment Text Char"/>
    <w:basedOn w:val="DefaultParagraphFont"/>
    <w:link w:val="CommentText"/>
    <w:uiPriority w:val="99"/>
    <w:rsid w:val="000B6E12"/>
    <w:rPr>
      <w:sz w:val="20"/>
      <w:szCs w:val="20"/>
    </w:rPr>
  </w:style>
  <w:style w:type="paragraph" w:styleId="CommentSubject">
    <w:name w:val="annotation subject"/>
    <w:basedOn w:val="CommentText"/>
    <w:next w:val="CommentText"/>
    <w:link w:val="CommentSubjectChar"/>
    <w:uiPriority w:val="99"/>
    <w:semiHidden/>
    <w:unhideWhenUsed/>
    <w:rsid w:val="000B6E12"/>
    <w:rPr>
      <w:b/>
      <w:bCs/>
    </w:rPr>
  </w:style>
  <w:style w:type="character" w:customStyle="1" w:styleId="CommentSubjectChar">
    <w:name w:val="Comment Subject Char"/>
    <w:basedOn w:val="CommentTextChar"/>
    <w:link w:val="CommentSubject"/>
    <w:uiPriority w:val="99"/>
    <w:semiHidden/>
    <w:rsid w:val="000B6E12"/>
    <w:rPr>
      <w:b/>
      <w:bCs/>
      <w:sz w:val="20"/>
      <w:szCs w:val="20"/>
    </w:rPr>
  </w:style>
  <w:style w:type="paragraph" w:styleId="ListParagraph">
    <w:name w:val="List Paragraph"/>
    <w:basedOn w:val="Normal"/>
    <w:uiPriority w:val="34"/>
    <w:qFormat/>
    <w:rsid w:val="004D445D"/>
    <w:pPr>
      <w:ind w:left="720"/>
      <w:contextualSpacing/>
    </w:pPr>
  </w:style>
  <w:style w:type="paragraph" w:customStyle="1" w:styleId="Default">
    <w:name w:val="Default"/>
    <w:rsid w:val="00873F3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CC7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FB3"/>
  </w:style>
  <w:style w:type="paragraph" w:styleId="Footer">
    <w:name w:val="footer"/>
    <w:basedOn w:val="Normal"/>
    <w:link w:val="FooterChar"/>
    <w:uiPriority w:val="99"/>
    <w:unhideWhenUsed/>
    <w:rsid w:val="00CC7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FB3"/>
  </w:style>
  <w:style w:type="character" w:customStyle="1" w:styleId="Heading2Char">
    <w:name w:val="Heading 2 Char"/>
    <w:basedOn w:val="DefaultParagraphFont"/>
    <w:link w:val="Heading2"/>
    <w:uiPriority w:val="9"/>
    <w:rsid w:val="00391E82"/>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65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fdora.org/" TargetMode="External"/><Relationship Id="rId18" Type="http://schemas.openxmlformats.org/officeDocument/2006/relationships/hyperlink" Target="https://inorms.net/more-than-our-ra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inorms.net/more-than-our-rank/" TargetMode="External"/><Relationship Id="rId17" Type="http://schemas.openxmlformats.org/officeDocument/2006/relationships/hyperlink" Target="https://rori.figshare.com/articles/report/Harnessing_the_Metric_Tide/21701624" TargetMode="External"/><Relationship Id="rId2" Type="http://schemas.openxmlformats.org/officeDocument/2006/relationships/customXml" Target="../customXml/item2.xml"/><Relationship Id="rId16" Type="http://schemas.openxmlformats.org/officeDocument/2006/relationships/hyperlink" Target="http://coar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orms.net/research-evaluation-group/" TargetMode="External"/><Relationship Id="rId5" Type="http://schemas.openxmlformats.org/officeDocument/2006/relationships/styles" Target="styles.xml"/><Relationship Id="rId15" Type="http://schemas.openxmlformats.org/officeDocument/2006/relationships/hyperlink" Target="https://coara.eu/agreement/signatories/page/3/?category%5B0%5D=funders" TargetMode="External"/><Relationship Id="rId10" Type="http://schemas.openxmlformats.org/officeDocument/2006/relationships/image" Target="media/image1.png"/><Relationship Id="rId19" Type="http://schemas.openxmlformats.org/officeDocument/2006/relationships/hyperlink" Target="https://inorms.net/more-than-our-rank-log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lsinki-initiativ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f19b77-9183-4fc2-bb77-da09682717ed">
      <Terms xmlns="http://schemas.microsoft.com/office/infopath/2007/PartnerControls"/>
    </lcf76f155ced4ddcb4097134ff3c332f>
    <TaxCatchAll xmlns="4aa0b2aa-ae8d-4d1d-a89c-3d0d53edec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74AFA60A921347BF94085EAF489C10" ma:contentTypeVersion="13" ma:contentTypeDescription="Create a new document." ma:contentTypeScope="" ma:versionID="19e221b96779b2dfcf0654512e5fa4da">
  <xsd:schema xmlns:xsd="http://www.w3.org/2001/XMLSchema" xmlns:xs="http://www.w3.org/2001/XMLSchema" xmlns:p="http://schemas.microsoft.com/office/2006/metadata/properties" xmlns:ns2="47f19b77-9183-4fc2-bb77-da09682717ed" xmlns:ns3="4aa0b2aa-ae8d-4d1d-a89c-3d0d53edecf4" targetNamespace="http://schemas.microsoft.com/office/2006/metadata/properties" ma:root="true" ma:fieldsID="d48db80292bc0b3ce9c58cd8c8e868cc" ns2:_="" ns3:_="">
    <xsd:import namespace="47f19b77-9183-4fc2-bb77-da09682717ed"/>
    <xsd:import namespace="4aa0b2aa-ae8d-4d1d-a89c-3d0d53edecf4"/>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19b77-9183-4fc2-bb77-da0968271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cdd3cc6-868b-416e-907c-92b3c0bed4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a0b2aa-ae8d-4d1d-a89c-3d0d53edecf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365757a-417a-40b4-b89a-22c7974f36e0}" ma:internalName="TaxCatchAll" ma:showField="CatchAllData" ma:web="4aa0b2aa-ae8d-4d1d-a89c-3d0d53edecf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4F08D-8235-4543-8BCB-68DD915329D2}">
  <ds:schemaRefs>
    <ds:schemaRef ds:uri="http://schemas.microsoft.com/sharepoint/v3/contenttype/forms"/>
  </ds:schemaRefs>
</ds:datastoreItem>
</file>

<file path=customXml/itemProps2.xml><?xml version="1.0" encoding="utf-8"?>
<ds:datastoreItem xmlns:ds="http://schemas.openxmlformats.org/officeDocument/2006/customXml" ds:itemID="{38A0C144-D4B8-4A37-9F37-FD075BFCD3CD}">
  <ds:schemaRefs>
    <ds:schemaRef ds:uri="http://schemas.microsoft.com/office/2006/metadata/properties"/>
    <ds:schemaRef ds:uri="http://schemas.microsoft.com/office/infopath/2007/PartnerControls"/>
    <ds:schemaRef ds:uri="47f19b77-9183-4fc2-bb77-da09682717ed"/>
    <ds:schemaRef ds:uri="4aa0b2aa-ae8d-4d1d-a89c-3d0d53edecf4"/>
  </ds:schemaRefs>
</ds:datastoreItem>
</file>

<file path=customXml/itemProps3.xml><?xml version="1.0" encoding="utf-8"?>
<ds:datastoreItem xmlns:ds="http://schemas.openxmlformats.org/officeDocument/2006/customXml" ds:itemID="{426B8787-546A-473D-982D-BD8334C05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19b77-9183-4fc2-bb77-da09682717ed"/>
    <ds:schemaRef ds:uri="4aa0b2aa-ae8d-4d1d-a89c-3d0d53ede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Bramwell</dc:creator>
  <cp:keywords/>
  <dc:description/>
  <cp:lastModifiedBy>Nicole Van der Westhuyzen</cp:lastModifiedBy>
  <cp:revision>2</cp:revision>
  <dcterms:created xsi:type="dcterms:W3CDTF">2023-02-03T14:06:00Z</dcterms:created>
  <dcterms:modified xsi:type="dcterms:W3CDTF">2023-02-03T14:06:00Z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0x010100C974AFA60A921347BF94085EAF489C10</vt:lpwstr>
  </property>
  <property fmtid="{D5CDD505-2E9C-101B-9397-08002B2CF9AE}" pid="3" name="MediaServiceImageTags">
    <vt:lpwstr/>
  </property>
</Properties>
</file>